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58316F" w:rsidP="00494130">
      <w:pPr>
        <w:pStyle w:val="Overskrift1"/>
        <w:spacing w:before="170"/>
        <w:ind w:left="0"/>
      </w:pPr>
      <w:r>
        <w:rPr>
          <w:color w:val="337AB7"/>
        </w:rPr>
        <w:t>Clopidogrel, prasugrel, and ticagrelor for all-comers with ST-segment elevation myocardial Infarction</w:t>
      </w:r>
    </w:p>
    <w:p w:rsidR="0058316F" w:rsidRDefault="0058316F" w:rsidP="00B328AD">
      <w:pPr>
        <w:pStyle w:val="Brdtekst"/>
        <w:spacing w:before="73" w:line="198" w:lineRule="exact"/>
        <w:ind w:left="100" w:right="5987"/>
        <w:rPr>
          <w:rFonts w:ascii="Arial"/>
        </w:rPr>
      </w:pPr>
      <w:r>
        <w:rPr>
          <w:rFonts w:ascii="Arial"/>
        </w:rPr>
        <w:t>Mia</w:t>
      </w:r>
      <w:r w:rsidR="005973B9">
        <w:rPr>
          <w:rFonts w:ascii="Arial"/>
        </w:rPr>
        <w:t xml:space="preserve"> </w:t>
      </w:r>
      <w:r>
        <w:rPr>
          <w:rFonts w:ascii="Arial"/>
        </w:rPr>
        <w:t>R</w:t>
      </w:r>
      <w:r w:rsidR="005973B9">
        <w:rPr>
          <w:rFonts w:ascii="Arial"/>
        </w:rPr>
        <w:t xml:space="preserve"> </w:t>
      </w:r>
      <w:r>
        <w:rPr>
          <w:rFonts w:ascii="Arial"/>
        </w:rPr>
        <w:t>Jacobsen</w:t>
      </w:r>
      <w:r w:rsidR="005973B9">
        <w:rPr>
          <w:rFonts w:ascii="Arial"/>
        </w:rPr>
        <w:t xml:space="preserve">, </w:t>
      </w:r>
      <w:r>
        <w:rPr>
          <w:rFonts w:ascii="Arial"/>
        </w:rPr>
        <w:t>MD</w:t>
      </w:r>
      <w:r w:rsidR="005973B9">
        <w:rPr>
          <w:rFonts w:ascii="Arial"/>
        </w:rPr>
        <w:t xml:space="preserve">, </w:t>
      </w:r>
      <w:r>
        <w:rPr>
          <w:rFonts w:ascii="Arial"/>
        </w:rPr>
        <w:t>The Heart Center</w:t>
      </w:r>
      <w:r w:rsidR="005973B9">
        <w:rPr>
          <w:rFonts w:ascii="Arial"/>
        </w:rPr>
        <w:t>,</w:t>
      </w:r>
      <w:r>
        <w:rPr>
          <w:rFonts w:ascii="Arial"/>
        </w:rPr>
        <w:t xml:space="preserve"> Copenhagen University Hospital, Rigshospitalet, Denmark</w:t>
      </w:r>
    </w:p>
    <w:p w:rsidR="00AE3E37" w:rsidRDefault="00AE3E37">
      <w:pPr>
        <w:pStyle w:val="Brdteks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Overskrift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52345D" w:rsidRDefault="0058316F" w:rsidP="00CE149D">
      <w:pPr>
        <w:pStyle w:val="Overskrift3"/>
        <w:spacing w:before="74"/>
        <w:jc w:val="both"/>
        <w:rPr>
          <w:b w:val="0"/>
        </w:rPr>
      </w:pPr>
      <w:r w:rsidRPr="0058316F">
        <w:rPr>
          <w:b w:val="0"/>
        </w:rPr>
        <w:t xml:space="preserve">Statement of the Problem: The recommendations for antiplatelet therapy in patients with ST-segment elevation myocardial infarction (STEMI) have been extrapolated from randomized controlled trials (RCTs) on patients with acute coronary syndromes. These cohorts may not be generalizable to all-comers with STEMI, as patients with STEMI accounted for one-third, the elderly was represented in minority, and high bleeding risk patients were excluded. </w:t>
      </w:r>
    </w:p>
    <w:p w:rsidR="0058316F" w:rsidRPr="0058316F" w:rsidRDefault="0058316F" w:rsidP="00CE149D">
      <w:pPr>
        <w:pStyle w:val="Overskrift3"/>
        <w:spacing w:before="74"/>
        <w:jc w:val="both"/>
        <w:rPr>
          <w:b w:val="0"/>
        </w:rPr>
      </w:pPr>
      <w:r w:rsidRPr="0058316F">
        <w:rPr>
          <w:b w:val="0"/>
        </w:rPr>
        <w:t xml:space="preserve">Aim: </w:t>
      </w:r>
      <w:r w:rsidR="0052345D">
        <w:rPr>
          <w:b w:val="0"/>
        </w:rPr>
        <w:t>T</w:t>
      </w:r>
      <w:r w:rsidRPr="0058316F">
        <w:rPr>
          <w:b w:val="0"/>
        </w:rPr>
        <w:t xml:space="preserve">o compare </w:t>
      </w:r>
      <w:r w:rsidR="002E087D">
        <w:rPr>
          <w:b w:val="0"/>
        </w:rPr>
        <w:t xml:space="preserve">the </w:t>
      </w:r>
      <w:r w:rsidRPr="0058316F">
        <w:rPr>
          <w:b w:val="0"/>
        </w:rPr>
        <w:t>effectiveness and safety of clopidogrel, prasugrel, and ticagrelor among all-comers with STEMI to extend the knowledge from RCTs to broader population</w:t>
      </w:r>
      <w:r w:rsidR="002E087D">
        <w:rPr>
          <w:b w:val="0"/>
        </w:rPr>
        <w:t>s</w:t>
      </w:r>
      <w:r w:rsidRPr="0058316F">
        <w:rPr>
          <w:b w:val="0"/>
        </w:rPr>
        <w:t>.</w:t>
      </w:r>
    </w:p>
    <w:p w:rsidR="0058316F" w:rsidRPr="0058316F" w:rsidRDefault="0058316F" w:rsidP="00CE149D">
      <w:pPr>
        <w:pStyle w:val="Overskrift3"/>
        <w:spacing w:before="74"/>
        <w:jc w:val="both"/>
        <w:rPr>
          <w:b w:val="0"/>
        </w:rPr>
      </w:pPr>
      <w:r w:rsidRPr="0058316F">
        <w:rPr>
          <w:b w:val="0"/>
        </w:rPr>
        <w:t>Methodology &amp; Theoretical Orientation: All consecutive patients with STEMI admitted to Copenhagen University Hospital, Rigshospitalet, from 2009 to 2016 were identified via the Eastern Danish Heart Registry. By individual linkage to Danish nationwide registries, claimed drugs and endpoints were obtained. Patients alive a week post-discharge were included, stratified according to clopidogrel, prasugrel, or ticagrelor, and followed for a year. The effectiveness (composite of all-cause mortality, myocardial infarction, and stroke) and safety endpoint</w:t>
      </w:r>
      <w:r w:rsidR="001E4796">
        <w:rPr>
          <w:b w:val="0"/>
        </w:rPr>
        <w:t>s</w:t>
      </w:r>
      <w:r w:rsidRPr="0058316F">
        <w:rPr>
          <w:b w:val="0"/>
        </w:rPr>
        <w:t xml:space="preserve"> (composite of bleedings leading to hospitalization) were assessed by multivariate Cox proportional hazards models.</w:t>
      </w:r>
    </w:p>
    <w:p w:rsidR="0058316F" w:rsidRPr="0058316F" w:rsidRDefault="0058316F" w:rsidP="00CE149D">
      <w:pPr>
        <w:pStyle w:val="Overskrift3"/>
        <w:spacing w:before="74"/>
        <w:jc w:val="both"/>
        <w:rPr>
          <w:b w:val="0"/>
        </w:rPr>
      </w:pPr>
      <w:r w:rsidRPr="0058316F">
        <w:rPr>
          <w:b w:val="0"/>
        </w:rPr>
        <w:t xml:space="preserve">Findings: In total, 5123 patients were included (clopidogrel [n=1245], prasugrel [n=1902], ticagrelor [n=1976]) with ≥95% treatment persistency. Concomitant aspirin use was ≥95%. Females accounted for 24% and elderly for 17%. Compared with clopidogrel, the effectiveness endpoint occurred less often for ticagrelor (HR 0.50, 95% CI 0.35–0.70) and prasugrel treatment (HR 0.48, 95% CI 0.33–0.68) without more bleedings. No differences in comparative effectiveness or safety were found between prasugrel and ticagrelor. </w:t>
      </w:r>
    </w:p>
    <w:p w:rsidR="00CE149D" w:rsidRPr="00CE149D" w:rsidRDefault="0058316F" w:rsidP="00CE149D">
      <w:pPr>
        <w:pStyle w:val="Overskrift3"/>
        <w:spacing w:before="74"/>
        <w:jc w:val="both"/>
        <w:rPr>
          <w:b w:val="0"/>
          <w:sz w:val="6"/>
          <w:szCs w:val="6"/>
        </w:rPr>
      </w:pPr>
      <w:r w:rsidRPr="0058316F">
        <w:rPr>
          <w:b w:val="0"/>
        </w:rPr>
        <w:t xml:space="preserve">Conclusion &amp; Significance: Both ticagrelor and prasugrel were associated with reduced all-cause mortality and prasugrel with fewer ischemic events compared with clopidogrel. No differences were found </w:t>
      </w:r>
      <w:r w:rsidR="00BE4B15">
        <w:rPr>
          <w:b w:val="0"/>
        </w:rPr>
        <w:t>in</w:t>
      </w:r>
      <w:r w:rsidRPr="0058316F">
        <w:rPr>
          <w:b w:val="0"/>
        </w:rPr>
        <w:t xml:space="preserve"> comparative safety between all treatments or comparative effectiveness between prasugrel and ticagrelor. The possible merits of prasugrel over ticagrelor in all-comers with STEMI were questioned</w:t>
      </w:r>
      <w:r w:rsidR="00BE4B15">
        <w:rPr>
          <w:b w:val="0"/>
        </w:rPr>
        <w:t>, despite the observational design.</w:t>
      </w:r>
      <w:r w:rsidR="00A9710C">
        <w:rPr>
          <w:b w:val="0"/>
        </w:rPr>
        <w:br w:type="column"/>
      </w:r>
    </w:p>
    <w:p w:rsidR="00AE3E37" w:rsidRDefault="00A9710C" w:rsidP="00CE149D">
      <w:pPr>
        <w:pStyle w:val="Overskrift3"/>
        <w:spacing w:before="74"/>
        <w:jc w:val="both"/>
      </w:pPr>
      <w:r>
        <w:rPr>
          <w:color w:val="BF5A14"/>
        </w:rPr>
        <w:t>Image</w:t>
      </w:r>
    </w:p>
    <w:p w:rsidR="00AE3E37" w:rsidRDefault="00AE3E37">
      <w:pPr>
        <w:pStyle w:val="Brdtekst"/>
        <w:spacing w:before="2"/>
        <w:rPr>
          <w:rFonts w:ascii="Arial"/>
          <w:b/>
          <w:sz w:val="16"/>
        </w:rPr>
      </w:pPr>
    </w:p>
    <w:p w:rsidR="0058316F" w:rsidRDefault="0052345D">
      <w:pPr>
        <w:pStyle w:val="Brdtekst"/>
        <w:spacing w:before="2"/>
        <w:rPr>
          <w:rFonts w:ascii="Arial"/>
          <w:b/>
          <w:sz w:val="16"/>
        </w:rPr>
      </w:pPr>
      <w:r w:rsidRPr="009944E5">
        <w:drawing>
          <wp:inline distT="0" distB="0" distL="0" distR="0" wp14:anchorId="7AA93030" wp14:editId="47AA955A">
            <wp:extent cx="3165475" cy="4395471"/>
            <wp:effectExtent l="0" t="0" r="0" b="508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439547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B35EF3" w:rsidRPr="00B35EF3" w:rsidRDefault="00B35EF3" w:rsidP="00B35EF3">
      <w:pPr>
        <w:tabs>
          <w:tab w:val="left" w:pos="384"/>
        </w:tabs>
        <w:ind w:right="117"/>
        <w:rPr>
          <w:rFonts w:ascii="Calibri" w:eastAsia="Calibri" w:hAnsi="Calibri" w:cs="Calibri"/>
          <w:sz w:val="18"/>
        </w:rPr>
      </w:pPr>
      <w:r w:rsidRPr="00B35EF3">
        <w:rPr>
          <w:rFonts w:ascii="Calibri" w:eastAsia="Calibri" w:hAnsi="Calibri" w:cs="Calibri"/>
          <w:sz w:val="18"/>
          <w:lang w:val="da-DK"/>
        </w:rPr>
        <w:t xml:space="preserve">1. </w:t>
      </w:r>
      <w:r w:rsidRPr="00B35EF3">
        <w:rPr>
          <w:rFonts w:ascii="Calibri" w:eastAsia="Calibri" w:hAnsi="Calibri" w:cs="Calibri"/>
          <w:sz w:val="18"/>
          <w:lang w:val="da-DK"/>
        </w:rPr>
        <w:tab/>
        <w:t xml:space="preserve">Steg PG, James S, Harrington RA, et al. </w:t>
      </w:r>
      <w:r w:rsidRPr="00B35EF3">
        <w:rPr>
          <w:rFonts w:ascii="Calibri" w:eastAsia="Calibri" w:hAnsi="Calibri" w:cs="Calibri"/>
          <w:sz w:val="18"/>
        </w:rPr>
        <w:t xml:space="preserve">(2010) Ticagrelor versus clopidogrel in patients with ST-elevation acute coronary syndromes intended for reperfusion with primary percutaneous coronary intervention: A Platelet Inhibition and Patient Outcomes (PLATO) trial subgroup analysis. Circulation. 122(21):2131–41. </w:t>
      </w:r>
    </w:p>
    <w:p w:rsidR="00B35EF3" w:rsidRPr="00B35EF3" w:rsidRDefault="00B35EF3" w:rsidP="00B35EF3">
      <w:pPr>
        <w:tabs>
          <w:tab w:val="left" w:pos="384"/>
        </w:tabs>
        <w:ind w:right="117"/>
        <w:rPr>
          <w:rFonts w:ascii="Calibri" w:eastAsia="Calibri" w:hAnsi="Calibri" w:cs="Calibri"/>
          <w:sz w:val="18"/>
        </w:rPr>
      </w:pPr>
      <w:r w:rsidRPr="00B35EF3">
        <w:rPr>
          <w:rFonts w:ascii="Calibri" w:eastAsia="Calibri" w:hAnsi="Calibri" w:cs="Calibri"/>
          <w:sz w:val="18"/>
        </w:rPr>
        <w:t xml:space="preserve">2. </w:t>
      </w:r>
      <w:r w:rsidRPr="00B35EF3">
        <w:rPr>
          <w:rFonts w:ascii="Calibri" w:eastAsia="Calibri" w:hAnsi="Calibri" w:cs="Calibri"/>
          <w:sz w:val="18"/>
        </w:rPr>
        <w:tab/>
      </w:r>
      <w:proofErr w:type="spellStart"/>
      <w:r w:rsidRPr="00B35EF3">
        <w:rPr>
          <w:rFonts w:ascii="Calibri" w:eastAsia="Calibri" w:hAnsi="Calibri" w:cs="Calibri"/>
          <w:sz w:val="18"/>
        </w:rPr>
        <w:t>Montalescot</w:t>
      </w:r>
      <w:proofErr w:type="spellEnd"/>
      <w:r w:rsidRPr="00B35EF3">
        <w:rPr>
          <w:rFonts w:ascii="Calibri" w:eastAsia="Calibri" w:hAnsi="Calibri" w:cs="Calibri"/>
          <w:sz w:val="18"/>
        </w:rPr>
        <w:t xml:space="preserve"> G, </w:t>
      </w:r>
      <w:proofErr w:type="spellStart"/>
      <w:r w:rsidRPr="00B35EF3">
        <w:rPr>
          <w:rFonts w:ascii="Calibri" w:eastAsia="Calibri" w:hAnsi="Calibri" w:cs="Calibri"/>
          <w:sz w:val="18"/>
        </w:rPr>
        <w:t>Wiviott</w:t>
      </w:r>
      <w:proofErr w:type="spellEnd"/>
      <w:r w:rsidRPr="00B35EF3">
        <w:rPr>
          <w:rFonts w:ascii="Calibri" w:eastAsia="Calibri" w:hAnsi="Calibri" w:cs="Calibri"/>
          <w:sz w:val="18"/>
        </w:rPr>
        <w:t xml:space="preserve"> SD, </w:t>
      </w:r>
      <w:proofErr w:type="spellStart"/>
      <w:r w:rsidRPr="00B35EF3">
        <w:rPr>
          <w:rFonts w:ascii="Calibri" w:eastAsia="Calibri" w:hAnsi="Calibri" w:cs="Calibri"/>
          <w:sz w:val="18"/>
        </w:rPr>
        <w:t>Braunwald</w:t>
      </w:r>
      <w:proofErr w:type="spellEnd"/>
      <w:r w:rsidRPr="00B35EF3">
        <w:rPr>
          <w:rFonts w:ascii="Calibri" w:eastAsia="Calibri" w:hAnsi="Calibri" w:cs="Calibri"/>
          <w:sz w:val="18"/>
        </w:rPr>
        <w:t xml:space="preserve"> E, et al. (2009) Prasugrel compared with clopidogrel in patients undergoing percutaneous coronary intervention for ST-elevation myocardial infarction (TRITON-TIMI 38): double-blind, </w:t>
      </w:r>
      <w:proofErr w:type="spellStart"/>
      <w:r w:rsidRPr="00B35EF3">
        <w:rPr>
          <w:rFonts w:ascii="Calibri" w:eastAsia="Calibri" w:hAnsi="Calibri" w:cs="Calibri"/>
          <w:sz w:val="18"/>
        </w:rPr>
        <w:t>randomised</w:t>
      </w:r>
      <w:proofErr w:type="spellEnd"/>
      <w:r w:rsidRPr="00B35EF3">
        <w:rPr>
          <w:rFonts w:ascii="Calibri" w:eastAsia="Calibri" w:hAnsi="Calibri" w:cs="Calibri"/>
          <w:sz w:val="18"/>
        </w:rPr>
        <w:t xml:space="preserve"> controlled trial. Lancet </w:t>
      </w:r>
      <w:proofErr w:type="spellStart"/>
      <w:r w:rsidRPr="00B35EF3">
        <w:rPr>
          <w:rFonts w:ascii="Calibri" w:eastAsia="Calibri" w:hAnsi="Calibri" w:cs="Calibri"/>
          <w:sz w:val="18"/>
        </w:rPr>
        <w:t>Lond</w:t>
      </w:r>
      <w:proofErr w:type="spellEnd"/>
      <w:r w:rsidRPr="00B35EF3">
        <w:rPr>
          <w:rFonts w:ascii="Calibri" w:eastAsia="Calibri" w:hAnsi="Calibri" w:cs="Calibri"/>
          <w:sz w:val="18"/>
        </w:rPr>
        <w:t xml:space="preserve"> Engl. 373(9665):723–31. </w:t>
      </w:r>
    </w:p>
    <w:p w:rsidR="00B35EF3" w:rsidRPr="00B35EF3" w:rsidRDefault="00B35EF3" w:rsidP="00B35EF3">
      <w:pPr>
        <w:tabs>
          <w:tab w:val="left" w:pos="384"/>
        </w:tabs>
        <w:ind w:right="117"/>
        <w:rPr>
          <w:rFonts w:ascii="Calibri" w:eastAsia="Calibri" w:hAnsi="Calibri" w:cs="Calibri"/>
          <w:sz w:val="18"/>
          <w:lang w:val="da-DK"/>
        </w:rPr>
      </w:pPr>
      <w:r w:rsidRPr="00B35EF3">
        <w:rPr>
          <w:rFonts w:ascii="Calibri" w:eastAsia="Calibri" w:hAnsi="Calibri" w:cs="Calibri"/>
          <w:sz w:val="18"/>
          <w:lang w:val="da-DK"/>
        </w:rPr>
        <w:t xml:space="preserve">3. </w:t>
      </w:r>
      <w:r w:rsidRPr="00B35EF3">
        <w:rPr>
          <w:rFonts w:ascii="Calibri" w:eastAsia="Calibri" w:hAnsi="Calibri" w:cs="Calibri"/>
          <w:sz w:val="18"/>
          <w:lang w:val="da-DK"/>
        </w:rPr>
        <w:tab/>
      </w:r>
      <w:proofErr w:type="spellStart"/>
      <w:r w:rsidRPr="00B35EF3">
        <w:rPr>
          <w:rFonts w:ascii="Calibri" w:eastAsia="Calibri" w:hAnsi="Calibri" w:cs="Calibri"/>
          <w:sz w:val="18"/>
          <w:lang w:val="da-DK"/>
        </w:rPr>
        <w:t>Schüpke</w:t>
      </w:r>
      <w:proofErr w:type="spellEnd"/>
      <w:r w:rsidRPr="00B35EF3">
        <w:rPr>
          <w:rFonts w:ascii="Calibri" w:eastAsia="Calibri" w:hAnsi="Calibri" w:cs="Calibri"/>
          <w:sz w:val="18"/>
          <w:lang w:val="da-DK"/>
        </w:rPr>
        <w:t xml:space="preserve"> S, Neumann F-J, </w:t>
      </w:r>
      <w:proofErr w:type="spellStart"/>
      <w:r w:rsidRPr="00B35EF3">
        <w:rPr>
          <w:rFonts w:ascii="Calibri" w:eastAsia="Calibri" w:hAnsi="Calibri" w:cs="Calibri"/>
          <w:sz w:val="18"/>
          <w:lang w:val="da-DK"/>
        </w:rPr>
        <w:t>Menichelli</w:t>
      </w:r>
      <w:proofErr w:type="spellEnd"/>
      <w:r w:rsidRPr="00B35EF3">
        <w:rPr>
          <w:rFonts w:ascii="Calibri" w:eastAsia="Calibri" w:hAnsi="Calibri" w:cs="Calibri"/>
          <w:sz w:val="18"/>
          <w:lang w:val="da-DK"/>
        </w:rPr>
        <w:t xml:space="preserve"> M, et al. </w:t>
      </w:r>
      <w:r w:rsidRPr="00B35EF3">
        <w:rPr>
          <w:rFonts w:ascii="Calibri" w:eastAsia="Calibri" w:hAnsi="Calibri" w:cs="Calibri"/>
          <w:sz w:val="18"/>
        </w:rPr>
        <w:t xml:space="preserve">(2019) Ticagrelor or Prasugrel in Patients with Acute Coronary Syndromes. </w:t>
      </w:r>
      <w:r w:rsidRPr="00B35EF3">
        <w:rPr>
          <w:rFonts w:ascii="Calibri" w:eastAsia="Calibri" w:hAnsi="Calibri" w:cs="Calibri"/>
          <w:sz w:val="18"/>
          <w:lang w:val="da-DK"/>
        </w:rPr>
        <w:t xml:space="preserve">N </w:t>
      </w:r>
      <w:proofErr w:type="spellStart"/>
      <w:r w:rsidRPr="00B35EF3">
        <w:rPr>
          <w:rFonts w:ascii="Calibri" w:eastAsia="Calibri" w:hAnsi="Calibri" w:cs="Calibri"/>
          <w:sz w:val="18"/>
          <w:lang w:val="da-DK"/>
        </w:rPr>
        <w:t>Engl</w:t>
      </w:r>
      <w:proofErr w:type="spellEnd"/>
      <w:r w:rsidRPr="00B35EF3">
        <w:rPr>
          <w:rFonts w:ascii="Calibri" w:eastAsia="Calibri" w:hAnsi="Calibri" w:cs="Calibri"/>
          <w:sz w:val="18"/>
          <w:lang w:val="da-DK"/>
        </w:rPr>
        <w:t xml:space="preserve"> J Med. 381(16):1524–34. </w:t>
      </w:r>
    </w:p>
    <w:p w:rsidR="00B35EF3" w:rsidRPr="00B35EF3" w:rsidRDefault="00B35EF3" w:rsidP="00B35EF3">
      <w:pPr>
        <w:tabs>
          <w:tab w:val="left" w:pos="384"/>
        </w:tabs>
        <w:ind w:right="117"/>
        <w:rPr>
          <w:rFonts w:ascii="Calibri" w:eastAsia="Calibri" w:hAnsi="Calibri" w:cs="Calibri"/>
          <w:sz w:val="18"/>
        </w:rPr>
      </w:pPr>
      <w:r w:rsidRPr="00B35EF3">
        <w:rPr>
          <w:rFonts w:ascii="Calibri" w:eastAsia="Calibri" w:hAnsi="Calibri" w:cs="Calibri"/>
          <w:sz w:val="18"/>
          <w:lang w:val="da-DK"/>
        </w:rPr>
        <w:t xml:space="preserve">4. </w:t>
      </w:r>
      <w:r w:rsidRPr="00B35EF3">
        <w:rPr>
          <w:rFonts w:ascii="Calibri" w:eastAsia="Calibri" w:hAnsi="Calibri" w:cs="Calibri"/>
          <w:sz w:val="18"/>
          <w:lang w:val="da-DK"/>
        </w:rPr>
        <w:tab/>
        <w:t xml:space="preserve">De Filippo O, </w:t>
      </w:r>
      <w:proofErr w:type="spellStart"/>
      <w:r w:rsidRPr="00B35EF3">
        <w:rPr>
          <w:rFonts w:ascii="Calibri" w:eastAsia="Calibri" w:hAnsi="Calibri" w:cs="Calibri"/>
          <w:sz w:val="18"/>
          <w:lang w:val="da-DK"/>
        </w:rPr>
        <w:t>Cortese</w:t>
      </w:r>
      <w:proofErr w:type="spellEnd"/>
      <w:r w:rsidRPr="00B35EF3">
        <w:rPr>
          <w:rFonts w:ascii="Calibri" w:eastAsia="Calibri" w:hAnsi="Calibri" w:cs="Calibri"/>
          <w:sz w:val="18"/>
          <w:lang w:val="da-DK"/>
        </w:rPr>
        <w:t xml:space="preserve"> M, D </w:t>
      </w:r>
      <w:proofErr w:type="spellStart"/>
      <w:r w:rsidRPr="00B35EF3">
        <w:rPr>
          <w:rFonts w:ascii="Calibri" w:eastAsia="Calibri" w:hAnsi="Calibri" w:cs="Calibri"/>
          <w:sz w:val="18"/>
          <w:lang w:val="da-DK"/>
        </w:rPr>
        <w:t>Ascenzo</w:t>
      </w:r>
      <w:proofErr w:type="spellEnd"/>
      <w:r w:rsidRPr="00B35EF3">
        <w:rPr>
          <w:rFonts w:ascii="Calibri" w:eastAsia="Calibri" w:hAnsi="Calibri" w:cs="Calibri"/>
          <w:sz w:val="18"/>
          <w:lang w:val="da-DK"/>
        </w:rPr>
        <w:t xml:space="preserve"> F, et al. </w:t>
      </w:r>
      <w:r w:rsidRPr="00B35EF3">
        <w:rPr>
          <w:rFonts w:ascii="Calibri" w:eastAsia="Calibri" w:hAnsi="Calibri" w:cs="Calibri"/>
          <w:sz w:val="18"/>
        </w:rPr>
        <w:t xml:space="preserve">(2019) Real-World Data of Prasugrel vs. Ticagrelor in Acute Myocardial Infarction: Results from the RENAMI Registry. Am J Cardiovasc Drugs </w:t>
      </w:r>
      <w:proofErr w:type="spellStart"/>
      <w:r w:rsidRPr="00B35EF3">
        <w:rPr>
          <w:rFonts w:ascii="Calibri" w:eastAsia="Calibri" w:hAnsi="Calibri" w:cs="Calibri"/>
          <w:sz w:val="18"/>
        </w:rPr>
        <w:t>Drugs</w:t>
      </w:r>
      <w:proofErr w:type="spellEnd"/>
      <w:r w:rsidRPr="00B35EF3">
        <w:rPr>
          <w:rFonts w:ascii="Calibri" w:eastAsia="Calibri" w:hAnsi="Calibri" w:cs="Calibri"/>
          <w:sz w:val="18"/>
        </w:rPr>
        <w:t xml:space="preserve"> Devices Interv.19(4):381–91. </w:t>
      </w:r>
    </w:p>
    <w:p w:rsidR="00AE3E37" w:rsidRPr="008756E6" w:rsidRDefault="00B35EF3" w:rsidP="00B35EF3">
      <w:pPr>
        <w:tabs>
          <w:tab w:val="left" w:pos="384"/>
        </w:tabs>
        <w:ind w:right="117"/>
      </w:pPr>
      <w:r w:rsidRPr="00B35EF3">
        <w:rPr>
          <w:rFonts w:ascii="Calibri" w:eastAsia="Calibri" w:hAnsi="Calibri" w:cs="Calibri"/>
          <w:sz w:val="18"/>
        </w:rPr>
        <w:t xml:space="preserve">5. </w:t>
      </w:r>
      <w:r w:rsidRPr="00B35EF3">
        <w:rPr>
          <w:rFonts w:ascii="Calibri" w:eastAsia="Calibri" w:hAnsi="Calibri" w:cs="Calibri"/>
          <w:sz w:val="18"/>
        </w:rPr>
        <w:tab/>
        <w:t xml:space="preserve">Rafique AM, Nayyar P, Wang TY, et al.  (2016) Optimal P2Y12 Inhibitor in Patients With ST-Segment Elevation Myocardial Infarction Undergoing Primary Percutaneous Coronary Intervention: A Network Meta-Analysis. JACC Cardiovasc </w:t>
      </w:r>
      <w:proofErr w:type="spellStart"/>
      <w:r w:rsidRPr="00B35EF3">
        <w:rPr>
          <w:rFonts w:ascii="Calibri" w:eastAsia="Calibri" w:hAnsi="Calibri" w:cs="Calibri"/>
          <w:sz w:val="18"/>
        </w:rPr>
        <w:t>Interv</w:t>
      </w:r>
      <w:proofErr w:type="spellEnd"/>
      <w:r w:rsidRPr="00B35EF3">
        <w:rPr>
          <w:rFonts w:ascii="Calibri" w:eastAsia="Calibri" w:hAnsi="Calibri" w:cs="Calibri"/>
          <w:sz w:val="18"/>
        </w:rPr>
        <w:t>. 9(10):1036–46.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rdtekst"/>
        <w:rPr>
          <w:rFonts w:ascii="Calibri"/>
          <w:sz w:val="20"/>
        </w:rPr>
      </w:pPr>
    </w:p>
    <w:p w:rsidR="00AE3E37" w:rsidRDefault="00292ED9">
      <w:pPr>
        <w:pStyle w:val="Brdteks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8EDE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CE149D" w:rsidRDefault="00CE149D" w:rsidP="0051219E">
      <w:pPr>
        <w:spacing w:before="41" w:line="154" w:lineRule="exact"/>
        <w:ind w:left="213" w:right="231"/>
        <w:jc w:val="both"/>
        <w:rPr>
          <w:rFonts w:ascii="Arial"/>
          <w:sz w:val="14"/>
        </w:rPr>
      </w:pPr>
      <w:r>
        <w:rPr>
          <w:rFonts w:ascii="Arial"/>
          <w:sz w:val="14"/>
        </w:rPr>
        <w:t xml:space="preserve">Dr. </w:t>
      </w:r>
      <w:r w:rsidR="0052345D">
        <w:rPr>
          <w:rFonts w:ascii="Arial"/>
          <w:sz w:val="14"/>
        </w:rPr>
        <w:t>Mia Ravn Jacobsen</w:t>
      </w:r>
      <w:r>
        <w:rPr>
          <w:rFonts w:ascii="Arial"/>
          <w:sz w:val="14"/>
        </w:rPr>
        <w:t xml:space="preserve"> </w:t>
      </w:r>
      <w:r w:rsidR="000371AE">
        <w:rPr>
          <w:rFonts w:ascii="Arial"/>
          <w:sz w:val="14"/>
        </w:rPr>
        <w:t xml:space="preserve">began her research career as a medical student and continued her projects alongside working as a doctor in training. She has </w:t>
      </w:r>
      <w:r>
        <w:rPr>
          <w:rFonts w:ascii="Arial"/>
          <w:sz w:val="14"/>
        </w:rPr>
        <w:t>5 years of research experience</w:t>
      </w:r>
      <w:r w:rsidR="000371AE">
        <w:rPr>
          <w:rFonts w:ascii="Arial"/>
          <w:sz w:val="14"/>
        </w:rPr>
        <w:t xml:space="preserve"> already</w:t>
      </w:r>
      <w:r w:rsidR="0051219E">
        <w:rPr>
          <w:rFonts w:ascii="Arial"/>
          <w:sz w:val="14"/>
        </w:rPr>
        <w:t xml:space="preserve">. By utilizing a large </w:t>
      </w:r>
      <w:r w:rsidR="000B6389">
        <w:rPr>
          <w:rFonts w:ascii="Arial"/>
          <w:sz w:val="14"/>
        </w:rPr>
        <w:t xml:space="preserve">data </w:t>
      </w:r>
      <w:r w:rsidR="0051219E">
        <w:rPr>
          <w:rFonts w:ascii="Arial"/>
          <w:sz w:val="14"/>
        </w:rPr>
        <w:t xml:space="preserve">material </w:t>
      </w:r>
      <w:r w:rsidRPr="00CE149D">
        <w:rPr>
          <w:rFonts w:ascii="Arial"/>
          <w:sz w:val="14"/>
        </w:rPr>
        <w:t xml:space="preserve">from a local hospital </w:t>
      </w:r>
      <w:r w:rsidR="0051219E">
        <w:rPr>
          <w:rFonts w:ascii="Arial"/>
          <w:sz w:val="14"/>
        </w:rPr>
        <w:t xml:space="preserve">registry with consecutive patient enrollment and </w:t>
      </w:r>
      <w:r w:rsidR="00852513">
        <w:rPr>
          <w:rFonts w:ascii="Arial"/>
          <w:sz w:val="14"/>
        </w:rPr>
        <w:t>by</w:t>
      </w:r>
      <w:r w:rsidR="0051219E">
        <w:rPr>
          <w:rFonts w:ascii="Arial"/>
          <w:sz w:val="14"/>
        </w:rPr>
        <w:t xml:space="preserve"> individual linkage to the unique </w:t>
      </w:r>
      <w:r w:rsidRPr="00CE149D">
        <w:rPr>
          <w:rFonts w:ascii="Arial"/>
          <w:sz w:val="14"/>
        </w:rPr>
        <w:t>Danish nationwide registries</w:t>
      </w:r>
      <w:r w:rsidR="0051219E">
        <w:rPr>
          <w:rFonts w:ascii="Arial"/>
          <w:sz w:val="14"/>
        </w:rPr>
        <w:t xml:space="preserve">, she has focused her </w:t>
      </w:r>
      <w:r w:rsidRPr="00CE149D">
        <w:rPr>
          <w:rFonts w:ascii="Arial"/>
          <w:sz w:val="14"/>
        </w:rPr>
        <w:t xml:space="preserve">research </w:t>
      </w:r>
      <w:r w:rsidR="0051219E">
        <w:rPr>
          <w:rFonts w:ascii="Arial"/>
          <w:sz w:val="14"/>
        </w:rPr>
        <w:t xml:space="preserve">on ways </w:t>
      </w:r>
      <w:r w:rsidRPr="00CE149D">
        <w:rPr>
          <w:rFonts w:ascii="Arial"/>
          <w:sz w:val="14"/>
        </w:rPr>
        <w:t>to assess the effectiveness, safety, and use of antiplatelet therapy</w:t>
      </w:r>
      <w:r w:rsidR="0051219E">
        <w:rPr>
          <w:rFonts w:ascii="Arial"/>
          <w:sz w:val="14"/>
        </w:rPr>
        <w:t xml:space="preserve"> </w:t>
      </w:r>
      <w:r w:rsidRPr="00CE149D">
        <w:rPr>
          <w:rFonts w:ascii="Arial"/>
          <w:sz w:val="14"/>
        </w:rPr>
        <w:t xml:space="preserve">in patients with myocardial infarction. </w:t>
      </w:r>
      <w:r w:rsidR="0051219E">
        <w:rPr>
          <w:rFonts w:ascii="Arial"/>
          <w:sz w:val="14"/>
        </w:rPr>
        <w:t xml:space="preserve">Further, she is working on risk stratification of patients with </w:t>
      </w:r>
      <w:r w:rsidR="00E65FB9">
        <w:rPr>
          <w:rFonts w:ascii="Arial"/>
          <w:sz w:val="14"/>
        </w:rPr>
        <w:t>myocardial infarction</w:t>
      </w:r>
      <w:r w:rsidR="0051219E">
        <w:rPr>
          <w:rFonts w:ascii="Arial"/>
          <w:sz w:val="14"/>
        </w:rPr>
        <w:t xml:space="preserve"> for bleeding complications while preparing a large</w:t>
      </w:r>
      <w:r w:rsidR="000B6389">
        <w:rPr>
          <w:rFonts w:ascii="Arial"/>
          <w:sz w:val="14"/>
        </w:rPr>
        <w:t>r,</w:t>
      </w:r>
      <w:r w:rsidR="0051219E">
        <w:rPr>
          <w:rFonts w:ascii="Arial"/>
          <w:sz w:val="14"/>
        </w:rPr>
        <w:t xml:space="preserve"> </w:t>
      </w:r>
      <w:r w:rsidR="00E65FB9">
        <w:rPr>
          <w:rFonts w:ascii="Arial"/>
          <w:sz w:val="14"/>
        </w:rPr>
        <w:t xml:space="preserve">randomized </w:t>
      </w:r>
      <w:r w:rsidR="0051219E">
        <w:rPr>
          <w:rFonts w:ascii="Arial"/>
          <w:sz w:val="14"/>
        </w:rPr>
        <w:t>trial</w:t>
      </w:r>
      <w:r w:rsidR="000B6389">
        <w:rPr>
          <w:rFonts w:ascii="Arial"/>
          <w:sz w:val="14"/>
        </w:rPr>
        <w:t xml:space="preserve"> for her PhD thesis</w:t>
      </w:r>
      <w:r w:rsidR="0051219E">
        <w:rPr>
          <w:rFonts w:ascii="Arial"/>
          <w:sz w:val="14"/>
        </w:rPr>
        <w:t xml:space="preserve">, which aims </w:t>
      </w:r>
      <w:r w:rsidRPr="00CE149D">
        <w:rPr>
          <w:rFonts w:ascii="Arial"/>
          <w:sz w:val="14"/>
        </w:rPr>
        <w:t>to assess an individualized, de-escalated strategy for</w:t>
      </w:r>
      <w:r w:rsidR="0051219E">
        <w:rPr>
          <w:rFonts w:ascii="Arial"/>
          <w:sz w:val="14"/>
        </w:rPr>
        <w:t xml:space="preserve"> </w:t>
      </w:r>
      <w:r w:rsidRPr="00CE149D">
        <w:rPr>
          <w:rFonts w:ascii="Arial"/>
          <w:sz w:val="14"/>
        </w:rPr>
        <w:t>antiplatelet therapy among high bleeding risk patients with myocardial infarction.</w:t>
      </w:r>
      <w:r w:rsidR="0051219E">
        <w:rPr>
          <w:rFonts w:ascii="Arial"/>
          <w:sz w:val="14"/>
        </w:rPr>
        <w:t xml:space="preserve"> </w:t>
      </w:r>
      <w:r w:rsidR="0051219E" w:rsidRPr="0051219E">
        <w:rPr>
          <w:rFonts w:ascii="Arial"/>
          <w:sz w:val="14"/>
        </w:rPr>
        <w:t xml:space="preserve">By optimizing </w:t>
      </w:r>
      <w:r w:rsidR="0051219E">
        <w:rPr>
          <w:rFonts w:ascii="Arial"/>
          <w:sz w:val="14"/>
        </w:rPr>
        <w:t>dual antiplatelet the</w:t>
      </w:r>
      <w:bookmarkStart w:id="0" w:name="_GoBack"/>
      <w:bookmarkEnd w:id="0"/>
      <w:r w:rsidR="0051219E">
        <w:rPr>
          <w:rFonts w:ascii="Arial"/>
          <w:sz w:val="14"/>
        </w:rPr>
        <w:t>rapy</w:t>
      </w:r>
      <w:r w:rsidR="0051219E" w:rsidRPr="0051219E">
        <w:rPr>
          <w:rFonts w:ascii="Arial"/>
          <w:sz w:val="14"/>
        </w:rPr>
        <w:t>, there is a great potential for future prevention</w:t>
      </w:r>
      <w:r w:rsidR="0051219E">
        <w:rPr>
          <w:rFonts w:ascii="Arial"/>
          <w:sz w:val="14"/>
        </w:rPr>
        <w:t xml:space="preserve"> </w:t>
      </w:r>
      <w:r w:rsidR="0051219E" w:rsidRPr="0051219E">
        <w:rPr>
          <w:rFonts w:ascii="Arial"/>
          <w:sz w:val="14"/>
        </w:rPr>
        <w:t>of bleeding in numerous patients, for whom the continuous improvement of DAPT strategies is</w:t>
      </w:r>
      <w:r w:rsidR="0051219E">
        <w:rPr>
          <w:rFonts w:ascii="Arial"/>
          <w:sz w:val="14"/>
        </w:rPr>
        <w:t xml:space="preserve"> </w:t>
      </w:r>
      <w:r w:rsidR="0051219E" w:rsidRPr="0051219E">
        <w:rPr>
          <w:rFonts w:ascii="Arial"/>
          <w:sz w:val="14"/>
        </w:rPr>
        <w:t>crucial</w:t>
      </w:r>
      <w:r w:rsidR="0051219E">
        <w:rPr>
          <w:rFonts w:ascii="Arial"/>
          <w:sz w:val="14"/>
        </w:rPr>
        <w:t>.</w:t>
      </w:r>
    </w:p>
    <w:p w:rsidR="00CE149D" w:rsidRDefault="00CE149D">
      <w:pPr>
        <w:spacing w:before="41" w:line="154" w:lineRule="exact"/>
        <w:ind w:left="213" w:right="231"/>
        <w:jc w:val="both"/>
        <w:rPr>
          <w:rFonts w:ascii="Arial"/>
          <w:sz w:val="14"/>
        </w:rPr>
      </w:pPr>
    </w:p>
    <w:p w:rsidR="0052345D" w:rsidRDefault="0052345D">
      <w:pPr>
        <w:spacing w:before="41" w:line="154" w:lineRule="exact"/>
        <w:ind w:left="213" w:right="231"/>
        <w:jc w:val="both"/>
        <w:rPr>
          <w:rFonts w:ascii="Arial"/>
          <w:sz w:val="14"/>
        </w:rPr>
      </w:pP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52345D" w:rsidRPr="00F3672D">
          <w:rPr>
            <w:rStyle w:val="Hyperlink"/>
            <w:rFonts w:ascii="Arial"/>
            <w:sz w:val="14"/>
          </w:rPr>
          <w:t>miaravnjacobsen@gmail.com</w:t>
        </w:r>
      </w:hyperlink>
    </w:p>
    <w:p w:rsidR="00AE3E37" w:rsidRDefault="00292ED9">
      <w:pPr>
        <w:pStyle w:val="Brdteks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BF6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Brdtekst"/>
        <w:rPr>
          <w:rFonts w:ascii="Arial"/>
          <w:sz w:val="20"/>
        </w:rPr>
      </w:pPr>
    </w:p>
    <w:p w:rsidR="00AE3E37" w:rsidRDefault="00AE3E37">
      <w:pPr>
        <w:pStyle w:val="Brdtekst"/>
        <w:rPr>
          <w:rFonts w:ascii="Arial"/>
          <w:sz w:val="20"/>
        </w:rPr>
      </w:pPr>
    </w:p>
    <w:p w:rsidR="00AE3E37" w:rsidRDefault="00AE3E37">
      <w:pPr>
        <w:pStyle w:val="Brdteks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6A3D8E" w:rsidRDefault="006A3D8E">
      <w:pPr>
        <w:pStyle w:val="Brdtekst"/>
        <w:spacing w:before="3"/>
        <w:rPr>
          <w:rFonts w:ascii="Minion Pro"/>
          <w:sz w:val="26"/>
        </w:rPr>
      </w:pPr>
    </w:p>
    <w:sectPr w:rsidR="006A3D8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3A6B" w:rsidRDefault="00A43A6B">
      <w:r>
        <w:separator/>
      </w:r>
    </w:p>
  </w:endnote>
  <w:endnote w:type="continuationSeparator" w:id="0">
    <w:p w:rsidR="00A43A6B" w:rsidRDefault="00A43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rdteks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3A6B" w:rsidRDefault="00A43A6B">
      <w:r>
        <w:separator/>
      </w:r>
    </w:p>
  </w:footnote>
  <w:footnote w:type="continuationSeparator" w:id="0">
    <w:p w:rsidR="00A43A6B" w:rsidRDefault="00A43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rdteks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rd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Brd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71AE"/>
    <w:rsid w:val="000559CA"/>
    <w:rsid w:val="000B6389"/>
    <w:rsid w:val="000E2911"/>
    <w:rsid w:val="00123854"/>
    <w:rsid w:val="001263DF"/>
    <w:rsid w:val="00157763"/>
    <w:rsid w:val="001B425D"/>
    <w:rsid w:val="001E4796"/>
    <w:rsid w:val="00292ED9"/>
    <w:rsid w:val="002A196B"/>
    <w:rsid w:val="002B2804"/>
    <w:rsid w:val="002E087D"/>
    <w:rsid w:val="003F04CF"/>
    <w:rsid w:val="00404E5B"/>
    <w:rsid w:val="00414F7B"/>
    <w:rsid w:val="004355DC"/>
    <w:rsid w:val="004749B4"/>
    <w:rsid w:val="00494130"/>
    <w:rsid w:val="004F3523"/>
    <w:rsid w:val="0051219E"/>
    <w:rsid w:val="0052345D"/>
    <w:rsid w:val="0058316F"/>
    <w:rsid w:val="005973B9"/>
    <w:rsid w:val="005B3A56"/>
    <w:rsid w:val="006060CE"/>
    <w:rsid w:val="0063497F"/>
    <w:rsid w:val="006A3D8E"/>
    <w:rsid w:val="00852513"/>
    <w:rsid w:val="00873DF0"/>
    <w:rsid w:val="008756E6"/>
    <w:rsid w:val="00951D55"/>
    <w:rsid w:val="009B2D44"/>
    <w:rsid w:val="00A07E82"/>
    <w:rsid w:val="00A43A6B"/>
    <w:rsid w:val="00A9710C"/>
    <w:rsid w:val="00AE3E37"/>
    <w:rsid w:val="00B21A57"/>
    <w:rsid w:val="00B328AD"/>
    <w:rsid w:val="00B35EF3"/>
    <w:rsid w:val="00BE4B15"/>
    <w:rsid w:val="00C33602"/>
    <w:rsid w:val="00CD6F55"/>
    <w:rsid w:val="00CE149D"/>
    <w:rsid w:val="00D01212"/>
    <w:rsid w:val="00DE1AF1"/>
    <w:rsid w:val="00DE3104"/>
    <w:rsid w:val="00E51C39"/>
    <w:rsid w:val="00E65FB9"/>
    <w:rsid w:val="00F72EEA"/>
    <w:rsid w:val="00F84CAE"/>
    <w:rsid w:val="00FD0A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D4627"/>
  <w15:docId w15:val="{1B8B9AC8-87C6-41F2-ABD9-7865DA831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Overskrift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Overskrift2">
    <w:name w:val="heading 2"/>
    <w:basedOn w:val="Normal"/>
    <w:uiPriority w:val="1"/>
    <w:qFormat/>
    <w:rsid w:val="00CD6F55"/>
    <w:pPr>
      <w:ind w:left="100"/>
      <w:outlineLvl w:val="1"/>
    </w:pPr>
    <w:rPr>
      <w:rFonts w:ascii="Minion Pro" w:eastAsia="Minion Pro" w:hAnsi="Minion Pro" w:cs="Minion Pro"/>
      <w:sz w:val="24"/>
      <w:szCs w:val="24"/>
    </w:rPr>
  </w:style>
  <w:style w:type="paragraph" w:styleId="Overskrift3">
    <w:name w:val="heading 3"/>
    <w:basedOn w:val="Normal"/>
    <w:uiPriority w:val="1"/>
    <w:qFormat/>
    <w:rsid w:val="00CD6F55"/>
    <w:pPr>
      <w:ind w:left="100"/>
      <w:outlineLvl w:val="2"/>
    </w:pPr>
    <w:rPr>
      <w:rFonts w:ascii="Arial" w:eastAsia="Arial" w:hAnsi="Arial" w:cs="Arial"/>
      <w:b/>
      <w:bCs/>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link w:val="BrdtekstTegn"/>
    <w:uiPriority w:val="1"/>
    <w:qFormat/>
    <w:rsid w:val="00CD6F55"/>
    <w:rPr>
      <w:sz w:val="18"/>
      <w:szCs w:val="18"/>
    </w:rPr>
  </w:style>
  <w:style w:type="paragraph" w:styleId="Listeafsnit">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idehoved">
    <w:name w:val="header"/>
    <w:basedOn w:val="Normal"/>
    <w:link w:val="SidehovedTegn"/>
    <w:uiPriority w:val="99"/>
    <w:unhideWhenUsed/>
    <w:rsid w:val="005B3A56"/>
    <w:pPr>
      <w:tabs>
        <w:tab w:val="center" w:pos="4513"/>
        <w:tab w:val="right" w:pos="9026"/>
      </w:tabs>
    </w:pPr>
  </w:style>
  <w:style w:type="character" w:customStyle="1" w:styleId="SidehovedTegn">
    <w:name w:val="Sidehoved Tegn"/>
    <w:basedOn w:val="Standardskrifttypeiafsnit"/>
    <w:link w:val="Sidehoved"/>
    <w:uiPriority w:val="99"/>
    <w:rsid w:val="005B3A56"/>
    <w:rPr>
      <w:rFonts w:ascii="Tw Cen MT" w:eastAsia="Tw Cen MT" w:hAnsi="Tw Cen MT" w:cs="Tw Cen MT"/>
    </w:rPr>
  </w:style>
  <w:style w:type="paragraph" w:styleId="Sidefod">
    <w:name w:val="footer"/>
    <w:basedOn w:val="Normal"/>
    <w:link w:val="SidefodTegn"/>
    <w:uiPriority w:val="99"/>
    <w:unhideWhenUsed/>
    <w:rsid w:val="005B3A56"/>
    <w:pPr>
      <w:tabs>
        <w:tab w:val="center" w:pos="4513"/>
        <w:tab w:val="right" w:pos="9026"/>
      </w:tabs>
    </w:pPr>
  </w:style>
  <w:style w:type="character" w:customStyle="1" w:styleId="SidefodTegn">
    <w:name w:val="Sidefod Tegn"/>
    <w:basedOn w:val="Standardskrifttypeiafsnit"/>
    <w:link w:val="Sidefod"/>
    <w:uiPriority w:val="99"/>
    <w:rsid w:val="005B3A56"/>
    <w:rPr>
      <w:rFonts w:ascii="Tw Cen MT" w:eastAsia="Tw Cen MT" w:hAnsi="Tw Cen MT" w:cs="Tw Cen MT"/>
    </w:rPr>
  </w:style>
  <w:style w:type="paragraph" w:styleId="Markeringsbobletekst">
    <w:name w:val="Balloon Text"/>
    <w:basedOn w:val="Normal"/>
    <w:link w:val="MarkeringsbobletekstTegn"/>
    <w:uiPriority w:val="99"/>
    <w:semiHidden/>
    <w:unhideWhenUsed/>
    <w:rsid w:val="004F352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F3523"/>
    <w:rPr>
      <w:rFonts w:ascii="Tahoma" w:eastAsia="Tw Cen MT" w:hAnsi="Tahoma" w:cs="Tahoma"/>
      <w:sz w:val="16"/>
      <w:szCs w:val="16"/>
    </w:rPr>
  </w:style>
  <w:style w:type="character" w:styleId="Hyperlink">
    <w:name w:val="Hyperlink"/>
    <w:basedOn w:val="Standardskrifttypeiafsnit"/>
    <w:uiPriority w:val="99"/>
    <w:unhideWhenUsed/>
    <w:rsid w:val="008756E6"/>
    <w:rPr>
      <w:color w:val="0000FF" w:themeColor="hyperlink"/>
      <w:u w:val="single"/>
    </w:rPr>
  </w:style>
  <w:style w:type="character" w:customStyle="1" w:styleId="BrdtekstTegn">
    <w:name w:val="Brødtekst Tegn"/>
    <w:basedOn w:val="Standardskrifttypeiafsnit"/>
    <w:link w:val="Brdtekst"/>
    <w:uiPriority w:val="1"/>
    <w:rsid w:val="005973B9"/>
    <w:rPr>
      <w:rFonts w:ascii="Tw Cen MT" w:eastAsia="Tw Cen MT" w:hAnsi="Tw Cen MT" w:cs="Tw Cen MT"/>
      <w:sz w:val="18"/>
      <w:szCs w:val="18"/>
    </w:rPr>
  </w:style>
  <w:style w:type="character" w:styleId="Ulstomtale">
    <w:name w:val="Unresolved Mention"/>
    <w:basedOn w:val="Standardskrifttypeiafsnit"/>
    <w:uiPriority w:val="99"/>
    <w:semiHidden/>
    <w:unhideWhenUsed/>
    <w:rsid w:val="0052345D"/>
    <w:rPr>
      <w:color w:val="605E5C"/>
      <w:shd w:val="clear" w:color="auto" w:fill="E1DFDD"/>
    </w:rPr>
  </w:style>
  <w:style w:type="paragraph" w:styleId="Bibliografi">
    <w:name w:val="Bibliography"/>
    <w:basedOn w:val="Normal"/>
    <w:next w:val="Normal"/>
    <w:uiPriority w:val="37"/>
    <w:unhideWhenUsed/>
    <w:rsid w:val="006A3D8E"/>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aravnjacobsen@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693</Words>
  <Characters>4233</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Mia Ravn Jacobsen</cp:lastModifiedBy>
  <cp:revision>16</cp:revision>
  <dcterms:created xsi:type="dcterms:W3CDTF">2021-09-27T09:01:00Z</dcterms:created>
  <dcterms:modified xsi:type="dcterms:W3CDTF">2021-09-27T10:25:00Z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zotero-version="5.0.89"&gt;&lt;session id="1F0IPda3"/&gt;&lt;style id="http://www.zotero.org/styles/vancouver" locale="en-US" hasBibliography="1" bibliographyStyleHasBeenSet="1"/&gt;&lt;prefs&gt;&lt;pref name="fieldType" value="Field"/&gt;&lt;pref name="automati</vt:lpwstr>
  </property>
  <property fmtid="{D5CDD505-2E9C-101B-9397-08002B2CF9AE}" pid="6" name="ZOTERO_PREF_2">
    <vt:lpwstr>cJournalAbbreviations" value="true"/&gt;&lt;/prefs&gt;&lt;/data&gt;</vt:lpwstr>
  </property>
</Properties>
</file>