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5A77F" w14:textId="77777777" w:rsidR="009B7D6A" w:rsidRPr="00923BEB" w:rsidRDefault="009B7D6A" w:rsidP="009B7D6A">
      <w:pPr>
        <w:pStyle w:val="Heading1"/>
        <w:spacing w:before="170"/>
        <w:ind w:left="0"/>
        <w:rPr>
          <w:rFonts w:ascii="Tw Cen MT" w:hAnsi="Tw Cen MT"/>
        </w:rPr>
      </w:pPr>
      <w:r>
        <w:rPr>
          <w:rFonts w:ascii="Tw Cen MT" w:hAnsi="Tw Cen MT"/>
          <w:color w:val="337AB7"/>
        </w:rPr>
        <w:t>Phosphorylcholine and antibodies against it in atherosclerosis and CVD: novel protection marker and potential for immunization against atherosclerosis</w:t>
      </w:r>
    </w:p>
    <w:p w14:paraId="54B7852F" w14:textId="77777777" w:rsidR="009B7D6A" w:rsidRPr="00923BEB" w:rsidRDefault="009B7D6A" w:rsidP="009B7D6A">
      <w:pPr>
        <w:pStyle w:val="BodyText"/>
        <w:spacing w:before="73" w:line="198" w:lineRule="exact"/>
        <w:ind w:left="100" w:right="5987"/>
        <w:rPr>
          <w:lang w:val="sv-SE"/>
        </w:rPr>
      </w:pPr>
      <w:r w:rsidRPr="00923BEB">
        <w:rPr>
          <w:lang w:val="sv-SE"/>
        </w:rPr>
        <w:t>Johan Frostegård, MD, PHD, Professor of Medicine</w:t>
      </w:r>
    </w:p>
    <w:p w14:paraId="1F7D31F2" w14:textId="77777777" w:rsidR="009B7D6A" w:rsidRPr="00923BEB" w:rsidRDefault="009B7D6A" w:rsidP="009B7D6A">
      <w:pPr>
        <w:pStyle w:val="BodyText"/>
        <w:spacing w:before="73" w:line="198" w:lineRule="exact"/>
        <w:ind w:left="100" w:right="5987"/>
        <w:rPr>
          <w:lang w:val="sv-SE"/>
        </w:rPr>
      </w:pPr>
      <w:r w:rsidRPr="00923BEB">
        <w:rPr>
          <w:lang w:val="sv-SE"/>
        </w:rPr>
        <w:t>Karolinska Institutet, Stockholm, Sweden</w:t>
      </w:r>
    </w:p>
    <w:p w14:paraId="20F1CA89" w14:textId="77777777" w:rsidR="009B7D6A" w:rsidRPr="00923BEB" w:rsidRDefault="009B7D6A" w:rsidP="009B7D6A">
      <w:pPr>
        <w:pStyle w:val="BodyText"/>
        <w:rPr>
          <w:sz w:val="20"/>
          <w:lang w:val="sv-SE"/>
        </w:rPr>
      </w:pPr>
    </w:p>
    <w:p w14:paraId="76F3B764" w14:textId="77777777" w:rsidR="009B7D6A" w:rsidRPr="00923BEB" w:rsidRDefault="009B7D6A" w:rsidP="009B7D6A">
      <w:pPr>
        <w:pStyle w:val="BodyText"/>
        <w:spacing w:before="3"/>
        <w:rPr>
          <w:sz w:val="21"/>
          <w:lang w:val="sv-SE"/>
        </w:rPr>
      </w:pPr>
    </w:p>
    <w:p w14:paraId="7ECF7E6C" w14:textId="77777777" w:rsidR="009B7D6A" w:rsidRPr="00923BEB" w:rsidRDefault="009B7D6A" w:rsidP="009B7D6A">
      <w:pPr>
        <w:rPr>
          <w:sz w:val="21"/>
          <w:lang w:val="sv-SE"/>
        </w:rPr>
        <w:sectPr w:rsidR="009B7D6A" w:rsidRPr="00923BEB" w:rsidSect="009B7D6A">
          <w:headerReference w:type="default" r:id="rId5"/>
          <w:footerReference w:type="default" r:id="rId6"/>
          <w:pgSz w:w="11910" w:h="16840"/>
          <w:pgMar w:top="1740" w:right="600" w:bottom="840" w:left="620" w:header="541" w:footer="642" w:gutter="0"/>
          <w:cols w:space="720"/>
        </w:sectPr>
      </w:pPr>
    </w:p>
    <w:p w14:paraId="7931E240" w14:textId="77777777" w:rsidR="009B7D6A" w:rsidRPr="00923BEB" w:rsidRDefault="009B7D6A" w:rsidP="009B7D6A">
      <w:pPr>
        <w:pStyle w:val="Heading3"/>
        <w:spacing w:before="147"/>
        <w:jc w:val="both"/>
        <w:rPr>
          <w:rFonts w:ascii="Tw Cen MT" w:hAnsi="Tw Cen MT"/>
        </w:rPr>
      </w:pPr>
      <w:r w:rsidRPr="00923BEB">
        <w:rPr>
          <w:rFonts w:ascii="Tw Cen MT" w:hAnsi="Tw Cen MT"/>
          <w:color w:val="BF5A14"/>
        </w:rPr>
        <w:t>Abstract (300 word limit)</w:t>
      </w:r>
    </w:p>
    <w:p w14:paraId="09C1BC8C" w14:textId="77777777" w:rsidR="009B7D6A" w:rsidRDefault="009B7D6A" w:rsidP="009B7D6A">
      <w:pPr>
        <w:pStyle w:val="BodyText"/>
        <w:spacing w:before="90" w:line="280" w:lineRule="auto"/>
        <w:ind w:left="100"/>
        <w:jc w:val="both"/>
      </w:pPr>
      <w:r>
        <w:t xml:space="preserve">Statement of the Problem: Atherosclerosis and cardiovascular disease (CVD) represents together a major cause of morbidity and mortality, even though both prevention and treatment. Atherosclerosis is characterized by accumulation of dead cells, oxidized low density lipoprotein (OxLDL), activated immune competent cells and ensuing calcification. Phosphorylcholine (PC) is a small epitope, which is immunogenic when expressed, which occurs on both dead cells and OxLDL. PC plays an important role in OxLDL-induced immune activation. PC is also exposed on nematodes, helminths, parasites and some bacteria. Antibodies against PC (anti-PC) are present in all humans we studied and constitute around 5-10% of IgM. </w:t>
      </w:r>
    </w:p>
    <w:p w14:paraId="686AEDBF" w14:textId="77777777" w:rsidR="009B7D6A" w:rsidRDefault="009B7D6A" w:rsidP="009B7D6A">
      <w:pPr>
        <w:pStyle w:val="BodyText"/>
        <w:spacing w:before="90" w:line="280" w:lineRule="auto"/>
        <w:ind w:left="100"/>
        <w:jc w:val="both"/>
      </w:pPr>
      <w:r>
        <w:t>Metology and</w:t>
      </w:r>
      <w:r w:rsidRPr="00CC503D">
        <w:t xml:space="preserve"> </w:t>
      </w:r>
      <w:r>
        <w:t>Results:</w:t>
      </w:r>
    </w:p>
    <w:p w14:paraId="692F9CA3" w14:textId="77777777" w:rsidR="009B7D6A" w:rsidRDefault="009B7D6A" w:rsidP="009B7D6A">
      <w:pPr>
        <w:pStyle w:val="BodyText"/>
        <w:spacing w:before="90" w:line="280" w:lineRule="auto"/>
        <w:ind w:left="100"/>
        <w:jc w:val="both"/>
      </w:pPr>
      <w:r>
        <w:t xml:space="preserve">We combinate experimental and clinical/epidemiological approaches. We reported 2006 that anti-PC is associated with protection against atherosclerosis development. After this, we published many studies, reporting that IgM and IgG1 (but less IgG2) anti-PC are protection markers, and low levels are risk markers, independent of and similar or higher as established ones as hypertension, smoking, diabetes and hyperlipidemia. These associations have been largely confirmed and extended by other researchers. Underlying mechanisms of anti-PC-effects include anti-inflammatory, immunomodulatory, and inhibition of uptake of OxLDL in the artery wall. Immunization with PC ameliorates atherosclerosis and mouse models. Brown bears, in spite of uremia, immobility and very high blood cholesterol. We recently reported that IgM and IgG1 anti-PC gets very high during fall and at hibernation, and suggested this may be a natural immunization against atherosclerosis. Individuals from Papua, New Guinea in the early 90s, who have no signs of CVD, have very high levels of anti-PC. We proposed a development of the Hygiene/Old Friends hypothesis: low anti-PC levels may be caused by lack of PC-exposing microorganisms. </w:t>
      </w:r>
    </w:p>
    <w:p w14:paraId="62991AC4" w14:textId="77777777" w:rsidR="009B7D6A" w:rsidRDefault="009B7D6A" w:rsidP="009B7D6A">
      <w:pPr>
        <w:pStyle w:val="BodyText"/>
        <w:spacing w:before="90" w:line="280" w:lineRule="auto"/>
        <w:ind w:left="100"/>
        <w:jc w:val="both"/>
      </w:pPr>
      <w:r>
        <w:t xml:space="preserve">Conclusion and Significance. Anti-PC is a protection marker for atherosclerosis and CVD. Immunization with PC, raising IgM and IgG1 be developed into a human vaccine. </w:t>
      </w:r>
    </w:p>
    <w:p w14:paraId="26A4AD38" w14:textId="77777777" w:rsidR="009B7D6A" w:rsidRPr="006C1FAA" w:rsidRDefault="009B7D6A" w:rsidP="009B7D6A"/>
    <w:p w14:paraId="1695F2EC" w14:textId="77777777" w:rsidR="009B7D6A" w:rsidRPr="00923BEB" w:rsidRDefault="009B7D6A" w:rsidP="009B7D6A">
      <w:pPr>
        <w:pStyle w:val="Heading3"/>
        <w:spacing w:before="74"/>
        <w:ind w:left="0" w:firstLine="720"/>
        <w:rPr>
          <w:rFonts w:ascii="Tw Cen MT" w:hAnsi="Tw Cen MT"/>
          <w:b w:val="0"/>
          <w:sz w:val="16"/>
        </w:rPr>
      </w:pPr>
      <w:r w:rsidRPr="00923BEB">
        <w:rPr>
          <w:rFonts w:ascii="Tw Cen MT" w:hAnsi="Tw Cen MT"/>
          <w:b w:val="0"/>
        </w:rPr>
        <w:br w:type="column"/>
      </w:r>
      <w:r w:rsidRPr="00923BEB">
        <w:rPr>
          <w:rFonts w:ascii="Tw Cen MT" w:hAnsi="Tw Cen MT"/>
          <w:color w:val="BF5A14"/>
        </w:rPr>
        <w:t>Recent Publications (minimum 5)</w:t>
      </w:r>
    </w:p>
    <w:p w14:paraId="1194F658" w14:textId="77777777" w:rsidR="009B7D6A" w:rsidRPr="00923BEB" w:rsidRDefault="009B7D6A" w:rsidP="009B7D6A">
      <w:pPr>
        <w:pStyle w:val="EndNoteBibliography"/>
        <w:numPr>
          <w:ilvl w:val="0"/>
          <w:numId w:val="1"/>
        </w:numPr>
        <w:rPr>
          <w:rFonts w:ascii="Tw Cen MT" w:hAnsi="Tw Cen MT" w:cs="Arial"/>
          <w:noProof/>
          <w:sz w:val="18"/>
          <w:szCs w:val="18"/>
        </w:rPr>
      </w:pPr>
      <w:r w:rsidRPr="00923BEB">
        <w:rPr>
          <w:rFonts w:ascii="Tw Cen MT" w:hAnsi="Tw Cen MT" w:cs="Arial"/>
          <w:noProof/>
          <w:sz w:val="18"/>
          <w:szCs w:val="18"/>
        </w:rPr>
        <w:t xml:space="preserve">Samal SK, Frobert O, Kindberg J, Stenvinkel P and </w:t>
      </w:r>
      <w:r w:rsidRPr="00923BEB">
        <w:rPr>
          <w:rFonts w:ascii="Tw Cen MT" w:hAnsi="Tw Cen MT" w:cs="Arial"/>
          <w:b/>
          <w:bCs/>
          <w:noProof/>
          <w:sz w:val="18"/>
          <w:szCs w:val="18"/>
        </w:rPr>
        <w:t>Frostegård J</w:t>
      </w:r>
      <w:r w:rsidRPr="00923BEB">
        <w:rPr>
          <w:rFonts w:ascii="Tw Cen MT" w:hAnsi="Tw Cen MT" w:cs="Arial"/>
          <w:noProof/>
          <w:sz w:val="18"/>
          <w:szCs w:val="18"/>
        </w:rPr>
        <w:t xml:space="preserve">. Potential natural immunization against atherosclerosis in hibernating bears. </w:t>
      </w:r>
      <w:r w:rsidRPr="00923BEB">
        <w:rPr>
          <w:rFonts w:ascii="Tw Cen MT" w:hAnsi="Tw Cen MT" w:cs="Arial"/>
          <w:i/>
          <w:noProof/>
          <w:sz w:val="18"/>
          <w:szCs w:val="18"/>
        </w:rPr>
        <w:t>Sci Rep</w:t>
      </w:r>
      <w:r w:rsidRPr="00923BEB">
        <w:rPr>
          <w:rFonts w:ascii="Tw Cen MT" w:hAnsi="Tw Cen MT" w:cs="Arial"/>
          <w:noProof/>
          <w:sz w:val="18"/>
          <w:szCs w:val="18"/>
        </w:rPr>
        <w:t>. 2021;11:12120.</w:t>
      </w:r>
    </w:p>
    <w:p w14:paraId="1ABB40B3" w14:textId="77777777" w:rsidR="009B7D6A" w:rsidRPr="00923BEB" w:rsidRDefault="009B7D6A" w:rsidP="009B7D6A">
      <w:pPr>
        <w:pStyle w:val="EndNoteBibliography"/>
        <w:numPr>
          <w:ilvl w:val="0"/>
          <w:numId w:val="1"/>
        </w:numPr>
        <w:rPr>
          <w:rFonts w:ascii="Tw Cen MT" w:hAnsi="Tw Cen MT" w:cs="Arial"/>
          <w:noProof/>
          <w:sz w:val="18"/>
          <w:szCs w:val="18"/>
        </w:rPr>
      </w:pPr>
      <w:r w:rsidRPr="00923BEB">
        <w:rPr>
          <w:rFonts w:ascii="Tw Cen MT" w:hAnsi="Tw Cen MT" w:cs="Arial"/>
          <w:noProof/>
          <w:sz w:val="18"/>
          <w:szCs w:val="18"/>
        </w:rPr>
        <w:t xml:space="preserve">Thiagarajan D, Lundstrom SL, Pershagen G, Almqvist Malmros C, Andolf E, Hedman A, Berg O, Oparina N and </w:t>
      </w:r>
      <w:r w:rsidRPr="00923BEB">
        <w:rPr>
          <w:rFonts w:ascii="Tw Cen MT" w:hAnsi="Tw Cen MT" w:cs="Arial"/>
          <w:b/>
          <w:bCs/>
          <w:noProof/>
          <w:sz w:val="18"/>
          <w:szCs w:val="18"/>
        </w:rPr>
        <w:t>Frostegård J</w:t>
      </w:r>
      <w:r w:rsidRPr="00923BEB">
        <w:rPr>
          <w:rFonts w:ascii="Tw Cen MT" w:hAnsi="Tw Cen MT" w:cs="Arial"/>
          <w:noProof/>
          <w:sz w:val="18"/>
          <w:szCs w:val="18"/>
        </w:rPr>
        <w:t xml:space="preserve">. Antibodies against Phosphorylcholine and Malondialdehyde during the First Two Years of Life. </w:t>
      </w:r>
      <w:r w:rsidRPr="00923BEB">
        <w:rPr>
          <w:rFonts w:ascii="Tw Cen MT" w:hAnsi="Tw Cen MT" w:cs="Arial"/>
          <w:i/>
          <w:noProof/>
          <w:sz w:val="18"/>
          <w:szCs w:val="18"/>
        </w:rPr>
        <w:t>J Immunol</w:t>
      </w:r>
      <w:r w:rsidRPr="00923BEB">
        <w:rPr>
          <w:rFonts w:ascii="Tw Cen MT" w:hAnsi="Tw Cen MT" w:cs="Arial"/>
          <w:noProof/>
          <w:sz w:val="18"/>
          <w:szCs w:val="18"/>
        </w:rPr>
        <w:t>. 2020;205:2109-2116.</w:t>
      </w:r>
    </w:p>
    <w:p w14:paraId="1CADC562" w14:textId="77777777" w:rsidR="009B7D6A" w:rsidRPr="00923BEB" w:rsidRDefault="009B7D6A" w:rsidP="009B7D6A">
      <w:pPr>
        <w:pStyle w:val="ListParagraph"/>
        <w:widowControl/>
        <w:numPr>
          <w:ilvl w:val="0"/>
          <w:numId w:val="1"/>
        </w:numPr>
        <w:spacing w:before="0" w:line="240" w:lineRule="auto"/>
        <w:contextualSpacing/>
        <w:rPr>
          <w:rFonts w:ascii="Tw Cen MT" w:hAnsi="Tw Cen MT" w:cs="Arial"/>
          <w:sz w:val="18"/>
          <w:szCs w:val="18"/>
        </w:rPr>
      </w:pPr>
      <w:r w:rsidRPr="00923BEB">
        <w:rPr>
          <w:rFonts w:ascii="Tw Cen MT" w:hAnsi="Tw Cen MT" w:cs="Arial"/>
          <w:noProof/>
          <w:sz w:val="18"/>
          <w:szCs w:val="18"/>
        </w:rPr>
        <w:t xml:space="preserve">Thiagarajan D, Fiskesund R, Frostegard A, Steen J, Rahman M, Vikstrom M, Lundstrom S and </w:t>
      </w:r>
      <w:r w:rsidRPr="00923BEB">
        <w:rPr>
          <w:rFonts w:ascii="Tw Cen MT" w:hAnsi="Tw Cen MT" w:cs="Arial"/>
          <w:b/>
          <w:bCs/>
          <w:noProof/>
          <w:sz w:val="18"/>
          <w:szCs w:val="18"/>
        </w:rPr>
        <w:t>Frostegard J</w:t>
      </w:r>
      <w:r w:rsidRPr="00923BEB">
        <w:rPr>
          <w:rFonts w:ascii="Tw Cen MT" w:hAnsi="Tw Cen MT" w:cs="Arial"/>
          <w:noProof/>
          <w:sz w:val="18"/>
          <w:szCs w:val="18"/>
        </w:rPr>
        <w:t xml:space="preserve">. Immunoglobulin G1 Antibodies Against Phosphorylcholine Are Associated With Protection in Systemic Lupus Erythematosus and Atherosclerosis: Potential Underlying Mechanisms. </w:t>
      </w:r>
      <w:r w:rsidRPr="00923BEB">
        <w:rPr>
          <w:rFonts w:ascii="Tw Cen MT" w:hAnsi="Tw Cen MT" w:cs="Arial"/>
          <w:i/>
          <w:noProof/>
          <w:sz w:val="18"/>
          <w:szCs w:val="18"/>
        </w:rPr>
        <w:t>ACR Open Rheumatol</w:t>
      </w:r>
      <w:r w:rsidRPr="00923BEB">
        <w:rPr>
          <w:rFonts w:ascii="Tw Cen MT" w:hAnsi="Tw Cen MT" w:cs="Arial"/>
          <w:noProof/>
          <w:sz w:val="18"/>
          <w:szCs w:val="18"/>
        </w:rPr>
        <w:t>. 2020;2:344-356.</w:t>
      </w:r>
    </w:p>
    <w:p w14:paraId="5179F679" w14:textId="77777777" w:rsidR="009B7D6A" w:rsidRPr="00923BEB" w:rsidRDefault="009B7D6A" w:rsidP="009B7D6A">
      <w:pPr>
        <w:pStyle w:val="ListParagraph"/>
        <w:widowControl/>
        <w:numPr>
          <w:ilvl w:val="0"/>
          <w:numId w:val="1"/>
        </w:numPr>
        <w:spacing w:before="0" w:line="240" w:lineRule="auto"/>
        <w:contextualSpacing/>
        <w:rPr>
          <w:rFonts w:ascii="Tw Cen MT" w:hAnsi="Tw Cen MT" w:cs="Arial"/>
          <w:sz w:val="18"/>
          <w:szCs w:val="18"/>
        </w:rPr>
      </w:pPr>
      <w:r w:rsidRPr="00923BEB">
        <w:rPr>
          <w:rFonts w:ascii="Tw Cen MT" w:hAnsi="Tw Cen MT" w:cs="Arial"/>
          <w:noProof/>
          <w:sz w:val="18"/>
          <w:szCs w:val="18"/>
        </w:rPr>
        <w:t xml:space="preserve">Samal SK, Qureshi AR, Rahman M, Stenvinkel P and </w:t>
      </w:r>
      <w:r w:rsidRPr="00923BEB">
        <w:rPr>
          <w:rFonts w:ascii="Tw Cen MT" w:hAnsi="Tw Cen MT" w:cs="Arial"/>
          <w:b/>
          <w:bCs/>
          <w:noProof/>
          <w:sz w:val="18"/>
          <w:szCs w:val="18"/>
        </w:rPr>
        <w:t>Frostegard J</w:t>
      </w:r>
      <w:r w:rsidRPr="00923BEB">
        <w:rPr>
          <w:rFonts w:ascii="Tw Cen MT" w:hAnsi="Tw Cen MT" w:cs="Arial"/>
          <w:noProof/>
          <w:sz w:val="18"/>
          <w:szCs w:val="18"/>
        </w:rPr>
        <w:t xml:space="preserve">. Different subclasses and isotypes of antibodies against phosphorylcholine in haemodialysis patients: association with mortality. </w:t>
      </w:r>
      <w:r w:rsidRPr="00923BEB">
        <w:rPr>
          <w:rFonts w:ascii="Tw Cen MT" w:hAnsi="Tw Cen MT" w:cs="Arial"/>
          <w:i/>
          <w:noProof/>
          <w:sz w:val="18"/>
          <w:szCs w:val="18"/>
        </w:rPr>
        <w:t>Clin exp Immunol</w:t>
      </w:r>
      <w:r w:rsidRPr="00923BEB">
        <w:rPr>
          <w:rFonts w:ascii="Tw Cen MT" w:hAnsi="Tw Cen MT" w:cs="Arial"/>
          <w:noProof/>
          <w:sz w:val="18"/>
          <w:szCs w:val="18"/>
        </w:rPr>
        <w:t>. 2020;201:94-104.</w:t>
      </w:r>
    </w:p>
    <w:p w14:paraId="4EF170CC" w14:textId="77777777" w:rsidR="009B7D6A" w:rsidRPr="00923BEB" w:rsidRDefault="009B7D6A" w:rsidP="009B7D6A">
      <w:pPr>
        <w:pStyle w:val="ListParagraph"/>
        <w:widowControl/>
        <w:numPr>
          <w:ilvl w:val="0"/>
          <w:numId w:val="1"/>
        </w:numPr>
        <w:spacing w:before="0" w:line="240" w:lineRule="auto"/>
        <w:contextualSpacing/>
        <w:rPr>
          <w:rFonts w:ascii="Tw Cen MT" w:hAnsi="Tw Cen MT" w:cs="Arial"/>
          <w:sz w:val="18"/>
          <w:szCs w:val="18"/>
          <w:lang w:val="fr-FR"/>
        </w:rPr>
      </w:pPr>
      <w:r w:rsidRPr="00923BEB">
        <w:rPr>
          <w:rFonts w:ascii="Tw Cen MT" w:hAnsi="Tw Cen MT" w:cs="Arial"/>
          <w:noProof/>
          <w:sz w:val="18"/>
          <w:szCs w:val="18"/>
          <w:lang w:val="en-GB"/>
        </w:rPr>
        <w:t xml:space="preserve">Liu A, </w:t>
      </w:r>
      <w:r w:rsidRPr="00923BEB">
        <w:rPr>
          <w:rFonts w:ascii="Tw Cen MT" w:hAnsi="Tw Cen MT" w:cs="Arial"/>
          <w:b/>
          <w:noProof/>
          <w:sz w:val="18"/>
          <w:szCs w:val="18"/>
          <w:lang w:val="en-GB"/>
        </w:rPr>
        <w:t>Frostegård J</w:t>
      </w:r>
      <w:r w:rsidRPr="00923BEB">
        <w:rPr>
          <w:rFonts w:ascii="Tw Cen MT" w:hAnsi="Tw Cen MT" w:cs="Arial"/>
          <w:noProof/>
          <w:sz w:val="18"/>
          <w:szCs w:val="18"/>
          <w:lang w:val="en-GB"/>
        </w:rPr>
        <w:t>. PCSK9 plays a novel immunological role in Oxidized LDL-induced dendritic cell maturation and T cell activation in atherosclerotic plaque. J of Internal Medicine. 2018;4 April.</w:t>
      </w:r>
    </w:p>
    <w:p w14:paraId="1F813115" w14:textId="77777777" w:rsidR="009B7D6A" w:rsidRPr="00923BEB" w:rsidRDefault="009B7D6A" w:rsidP="009B7D6A">
      <w:pPr>
        <w:pStyle w:val="ListParagraph"/>
        <w:widowControl/>
        <w:numPr>
          <w:ilvl w:val="0"/>
          <w:numId w:val="1"/>
        </w:numPr>
        <w:spacing w:before="0" w:line="240" w:lineRule="auto"/>
        <w:contextualSpacing/>
        <w:rPr>
          <w:rFonts w:ascii="Tw Cen MT" w:hAnsi="Tw Cen MT" w:cs="Arial"/>
          <w:sz w:val="18"/>
          <w:szCs w:val="18"/>
          <w:lang w:val="fr-FR"/>
        </w:rPr>
      </w:pPr>
      <w:r w:rsidRPr="00923BEB">
        <w:rPr>
          <w:rFonts w:ascii="Tw Cen MT" w:hAnsi="Tw Cen MT" w:cs="Arial"/>
          <w:noProof/>
          <w:sz w:val="18"/>
          <w:szCs w:val="18"/>
          <w:lang w:val="en-GB"/>
        </w:rPr>
        <w:t xml:space="preserve">Sun J, Lundstrom SL, Zhang B, Zubarev RA, Steuer J, Gillgren P, Rahman M, Ajeganova S, Liu A, </w:t>
      </w:r>
      <w:r w:rsidRPr="00923BEB">
        <w:rPr>
          <w:rFonts w:ascii="Tw Cen MT" w:hAnsi="Tw Cen MT" w:cs="Arial"/>
          <w:b/>
          <w:noProof/>
          <w:sz w:val="18"/>
          <w:szCs w:val="18"/>
          <w:lang w:val="en-GB"/>
        </w:rPr>
        <w:t>Frostegard J</w:t>
      </w:r>
      <w:r w:rsidRPr="00923BEB">
        <w:rPr>
          <w:rFonts w:ascii="Tw Cen MT" w:hAnsi="Tw Cen MT" w:cs="Arial"/>
          <w:noProof/>
          <w:sz w:val="18"/>
          <w:szCs w:val="18"/>
          <w:lang w:val="en-GB"/>
        </w:rPr>
        <w:t>. IgM antibodies against phosphorylcholine promote polarization of T regulatory cells from patients with atherosclerotic plaques, systemic lupus erythematosus and healthy donors. Atherosclerosis. 2017;268:36-48.</w:t>
      </w:r>
    </w:p>
    <w:p w14:paraId="3A44A67B" w14:textId="77777777" w:rsidR="009B7D6A" w:rsidRPr="00923BEB" w:rsidRDefault="009B7D6A" w:rsidP="009B7D6A">
      <w:pPr>
        <w:pStyle w:val="ListParagraph"/>
        <w:widowControl/>
        <w:numPr>
          <w:ilvl w:val="0"/>
          <w:numId w:val="1"/>
        </w:numPr>
        <w:spacing w:before="0" w:line="240" w:lineRule="auto"/>
        <w:contextualSpacing/>
        <w:rPr>
          <w:rFonts w:ascii="Tw Cen MT" w:hAnsi="Tw Cen MT" w:cs="Arial"/>
          <w:sz w:val="18"/>
          <w:szCs w:val="18"/>
          <w:lang w:val="fr-FR"/>
        </w:rPr>
      </w:pPr>
      <w:r w:rsidRPr="00923BEB">
        <w:rPr>
          <w:rFonts w:ascii="Tw Cen MT" w:hAnsi="Tw Cen MT" w:cs="Arial"/>
          <w:b/>
          <w:sz w:val="18"/>
          <w:szCs w:val="18"/>
          <w:lang w:val="en-GB"/>
        </w:rPr>
        <w:t>Frostegård J</w:t>
      </w:r>
      <w:r w:rsidRPr="00923BEB">
        <w:rPr>
          <w:rFonts w:ascii="Tw Cen MT" w:hAnsi="Tw Cen MT" w:cs="Arial"/>
          <w:sz w:val="18"/>
          <w:szCs w:val="18"/>
          <w:lang w:val="en-GB"/>
        </w:rPr>
        <w:t>, Zhang Y, Sun J, Yan K, Liu A. Oxidized Low-Density Lipoprotein (OxLDL)-Treated Dendritic Cells Promote Activation of T Cells in Human Atherosclerotic Plaque and Blood, Which Is Repressed by Statins: microRNA let-7c Is Integral to the Effect. J Am Heart Assoc. 2016;5(9).</w:t>
      </w:r>
    </w:p>
    <w:p w14:paraId="76B38AD5" w14:textId="77777777" w:rsidR="009B7D6A" w:rsidRPr="00923BEB" w:rsidRDefault="009B7D6A" w:rsidP="009B7D6A">
      <w:pPr>
        <w:pStyle w:val="ListParagraph"/>
        <w:widowControl/>
        <w:numPr>
          <w:ilvl w:val="0"/>
          <w:numId w:val="1"/>
        </w:numPr>
        <w:spacing w:before="0" w:line="240" w:lineRule="auto"/>
        <w:contextualSpacing/>
        <w:rPr>
          <w:rFonts w:ascii="Tw Cen MT" w:hAnsi="Tw Cen MT" w:cs="Arial"/>
          <w:sz w:val="18"/>
          <w:szCs w:val="18"/>
          <w:lang w:val="fr-FR"/>
        </w:rPr>
      </w:pPr>
      <w:r w:rsidRPr="00923BEB">
        <w:rPr>
          <w:rFonts w:ascii="Tw Cen MT" w:hAnsi="Tw Cen MT" w:cs="Arial"/>
          <w:sz w:val="18"/>
          <w:szCs w:val="18"/>
          <w:lang w:val="en-GB"/>
        </w:rPr>
        <w:t xml:space="preserve">Rahman M, Sing S, Golabkesh Z, Fiskesund R, Gustafsson T, Jogestrand T, Frostegård AG, Hafstrom I, Liu A and </w:t>
      </w:r>
      <w:r w:rsidRPr="00923BEB">
        <w:rPr>
          <w:rFonts w:ascii="Tw Cen MT" w:hAnsi="Tw Cen MT" w:cs="Arial"/>
          <w:b/>
          <w:sz w:val="18"/>
          <w:szCs w:val="18"/>
          <w:lang w:val="en-GB"/>
        </w:rPr>
        <w:t>Frostegård J</w:t>
      </w:r>
      <w:r w:rsidRPr="00923BEB">
        <w:rPr>
          <w:rFonts w:ascii="Tw Cen MT" w:hAnsi="Tw Cen MT" w:cs="Arial"/>
          <w:sz w:val="18"/>
          <w:szCs w:val="18"/>
          <w:lang w:val="en-GB"/>
        </w:rPr>
        <w:t>. IgM antibodies against malondialdehyde and phosphorylcholine are together strong protection markers for atherosclerosis in systemic lupus erythematosus: Regulation and underlying mechanisms. Clin Immunol. 2016;166-167:27-37.</w:t>
      </w:r>
    </w:p>
    <w:p w14:paraId="60E1F886" w14:textId="77777777" w:rsidR="009B7D6A" w:rsidRPr="00923BEB" w:rsidRDefault="009B7D6A" w:rsidP="009B7D6A">
      <w:pPr>
        <w:pStyle w:val="ListParagraph"/>
        <w:ind w:left="720" w:firstLine="0"/>
        <w:rPr>
          <w:rFonts w:ascii="Tw Cen MT" w:hAnsi="Tw Cen MT"/>
          <w:sz w:val="18"/>
          <w:szCs w:val="18"/>
          <w:lang w:val="en-GB"/>
        </w:rPr>
      </w:pPr>
    </w:p>
    <w:p w14:paraId="5808234A" w14:textId="77777777" w:rsidR="009B7D6A" w:rsidRPr="00923BEB" w:rsidRDefault="009B7D6A" w:rsidP="009B7D6A">
      <w:pPr>
        <w:tabs>
          <w:tab w:val="left" w:pos="384"/>
        </w:tabs>
        <w:ind w:right="117"/>
      </w:pPr>
    </w:p>
    <w:p w14:paraId="4B3EBC54" w14:textId="77777777" w:rsidR="009B7D6A" w:rsidRPr="00923BEB" w:rsidRDefault="009B7D6A" w:rsidP="009B7D6A">
      <w:pPr>
        <w:spacing w:line="200" w:lineRule="exact"/>
        <w:jc w:val="both"/>
        <w:sectPr w:rsidR="009B7D6A" w:rsidRPr="00923BEB">
          <w:type w:val="continuous"/>
          <w:pgSz w:w="11910" w:h="16840"/>
          <w:pgMar w:top="1740" w:right="600" w:bottom="840" w:left="620" w:header="720" w:footer="720" w:gutter="0"/>
          <w:cols w:num="2" w:space="720" w:equalWidth="0">
            <w:col w:w="5214" w:space="138"/>
            <w:col w:w="5338"/>
          </w:cols>
        </w:sectPr>
      </w:pPr>
      <w:r w:rsidRPr="00923BEB">
        <w:t xml:space="preserve">   </w:t>
      </w:r>
    </w:p>
    <w:p w14:paraId="40CBB251" w14:textId="77777777" w:rsidR="009B7D6A" w:rsidRPr="00923BEB" w:rsidRDefault="009B7D6A" w:rsidP="009B7D6A">
      <w:pPr>
        <w:pStyle w:val="BodyText"/>
        <w:rPr>
          <w:sz w:val="20"/>
        </w:rPr>
      </w:pPr>
    </w:p>
    <w:p w14:paraId="6184920F" w14:textId="77777777" w:rsidR="009B7D6A" w:rsidRPr="00923BEB" w:rsidRDefault="009B7D6A" w:rsidP="009B7D6A">
      <w:pPr>
        <w:pStyle w:val="BodyText"/>
        <w:spacing w:line="40" w:lineRule="exact"/>
        <w:ind w:left="2202"/>
        <w:rPr>
          <w:sz w:val="4"/>
        </w:rPr>
      </w:pPr>
      <w:r w:rsidRPr="00923BEB">
        <w:rPr>
          <w:noProof/>
          <w:sz w:val="4"/>
          <w:lang w:val="en-IN" w:eastAsia="en-IN"/>
        </w:rPr>
        <mc:AlternateContent>
          <mc:Choice Requires="wpg">
            <w:drawing>
              <wp:inline distT="0" distB="0" distL="0" distR="0" wp14:anchorId="448C08F0" wp14:editId="4B3FB9E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B6728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5E431FA" w14:textId="77777777" w:rsidR="009B7D6A" w:rsidRPr="00923BEB" w:rsidRDefault="009B7D6A" w:rsidP="009B7D6A">
      <w:pPr>
        <w:spacing w:before="92"/>
        <w:ind w:right="4234"/>
        <w:rPr>
          <w:noProof/>
        </w:rPr>
      </w:pPr>
      <w:r w:rsidRPr="00923BEB">
        <w:rPr>
          <w:noProof/>
        </w:rPr>
        <w:t xml:space="preserve">      </w:t>
      </w:r>
    </w:p>
    <w:p w14:paraId="0E5E0636" w14:textId="77777777" w:rsidR="009B7D6A" w:rsidRPr="00923BEB" w:rsidRDefault="009B7D6A" w:rsidP="009B7D6A">
      <w:pPr>
        <w:spacing w:before="92"/>
        <w:ind w:right="4234"/>
        <w:rPr>
          <w:noProof/>
        </w:rPr>
      </w:pPr>
      <w:r w:rsidRPr="00923BEB">
        <w:rPr>
          <w:noProof/>
        </w:rPr>
        <w:t xml:space="preserve">  </w:t>
      </w:r>
    </w:p>
    <w:p w14:paraId="4820F68C" w14:textId="77777777" w:rsidR="009B7D6A" w:rsidRPr="00923BEB" w:rsidRDefault="009B7D6A" w:rsidP="009B7D6A">
      <w:pPr>
        <w:spacing w:before="92"/>
        <w:ind w:right="4234"/>
      </w:pPr>
      <w:r w:rsidRPr="00923BEB">
        <w:rPr>
          <w:noProof/>
        </w:rPr>
        <w:t xml:space="preserve">   </w:t>
      </w:r>
      <w:r w:rsidRPr="00923BEB">
        <w:rPr>
          <w:color w:val="BF5A14"/>
        </w:rPr>
        <w:t>Biography (150 word limit)</w:t>
      </w:r>
    </w:p>
    <w:p w14:paraId="339F23CA" w14:textId="77777777" w:rsidR="009B7D6A" w:rsidRPr="00923BEB" w:rsidRDefault="009B7D6A" w:rsidP="009B7D6A">
      <w:pPr>
        <w:rPr>
          <w:sz w:val="18"/>
          <w:szCs w:val="18"/>
          <w:lang w:val="en-GB"/>
        </w:rPr>
      </w:pPr>
      <w:r w:rsidRPr="00923BEB">
        <w:rPr>
          <w:sz w:val="18"/>
          <w:szCs w:val="18"/>
          <w:lang w:val="en-GB"/>
        </w:rPr>
        <w:t xml:space="preserve">Johan Frostegård, born 2 October 1959, is Professor of Medicine at Karolinska Institutet and also senior consultant, being specialist in both Internal Medicine and in Rheumatology . JF has published about 180 scientific peer reviewed papers. The research area is focused on immunology, inflammation and atherosclerosis/CVD, with special emphasis on autoimmunity and rheumatology. Anti-PC and PC (together with OxLDL) have been a major interest for long time, but also other novel aspects have been studied, including Annexin A5 as a potential anti-inflammatory compound in this context and also immunological properties of statins and PCSK9. JF is active as inventor, and is co-founder of biotech companies, including Annexin Pharma ceuticals. JF is also active as a writer. </w:t>
      </w:r>
    </w:p>
    <w:p w14:paraId="7B2CC86F" w14:textId="77777777" w:rsidR="009B7D6A" w:rsidRPr="00923BEB" w:rsidRDefault="009B7D6A" w:rsidP="009B7D6A">
      <w:pPr>
        <w:spacing w:before="62"/>
        <w:ind w:left="4217" w:right="4235"/>
        <w:jc w:val="center"/>
        <w:rPr>
          <w:sz w:val="14"/>
        </w:rPr>
      </w:pPr>
      <w:r w:rsidRPr="00923BEB">
        <w:rPr>
          <w:sz w:val="14"/>
        </w:rPr>
        <w:t>Email: johan.frosteg</w:t>
      </w:r>
      <w:r>
        <w:rPr>
          <w:sz w:val="14"/>
        </w:rPr>
        <w:t>ard@ki.se</w:t>
      </w:r>
    </w:p>
    <w:p w14:paraId="0012322E" w14:textId="77777777" w:rsidR="009B7D6A" w:rsidRPr="00923BEB" w:rsidRDefault="009B7D6A" w:rsidP="009B7D6A">
      <w:pPr>
        <w:pStyle w:val="BodyText"/>
        <w:spacing w:before="2"/>
        <w:rPr>
          <w:sz w:val="19"/>
        </w:rPr>
      </w:pPr>
      <w:r w:rsidRPr="00923BEB">
        <w:rPr>
          <w:noProof/>
          <w:lang w:val="en-IN" w:eastAsia="en-IN"/>
        </w:rPr>
        <mc:AlternateContent>
          <mc:Choice Requires="wps">
            <w:drawing>
              <wp:anchor distT="0" distB="0" distL="0" distR="0" simplePos="0" relativeHeight="251659264" behindDoc="0" locked="0" layoutInCell="1" allowOverlap="1" wp14:anchorId="66CC91A9" wp14:editId="50FCF50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9E81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551BB8E5" w14:textId="77777777" w:rsidR="009B7D6A" w:rsidRPr="00923BEB" w:rsidRDefault="009B7D6A" w:rsidP="009B7D6A">
      <w:pPr>
        <w:pStyle w:val="BodyText"/>
        <w:rPr>
          <w:sz w:val="20"/>
        </w:rPr>
      </w:pPr>
    </w:p>
    <w:p w14:paraId="23910D26" w14:textId="77777777" w:rsidR="009B7D6A" w:rsidRPr="00923BEB" w:rsidRDefault="009B7D6A" w:rsidP="009B7D6A">
      <w:pPr>
        <w:pStyle w:val="BodyText"/>
        <w:rPr>
          <w:sz w:val="20"/>
        </w:rPr>
      </w:pPr>
    </w:p>
    <w:p w14:paraId="0EB237C2" w14:textId="77777777" w:rsidR="009B7D6A" w:rsidRPr="00923BEB" w:rsidRDefault="009B7D6A" w:rsidP="009B7D6A">
      <w:pPr>
        <w:pStyle w:val="BodyText"/>
        <w:spacing w:before="7"/>
        <w:rPr>
          <w:sz w:val="29"/>
        </w:rPr>
      </w:pPr>
    </w:p>
    <w:p w14:paraId="6611D5DB" w14:textId="77777777" w:rsidR="009B7D6A" w:rsidRPr="00923BEB" w:rsidRDefault="009B7D6A" w:rsidP="009B7D6A">
      <w:pPr>
        <w:spacing w:before="39"/>
        <w:ind w:left="100"/>
        <w:rPr>
          <w:b/>
          <w:sz w:val="20"/>
        </w:rPr>
      </w:pPr>
      <w:r w:rsidRPr="00923BEB">
        <w:rPr>
          <w:b/>
          <w:sz w:val="20"/>
        </w:rPr>
        <w:t>Notes/Comments:</w:t>
      </w:r>
    </w:p>
    <w:p w14:paraId="55461E3B" w14:textId="77777777" w:rsidR="009B7D6A" w:rsidRPr="00923BEB" w:rsidRDefault="009B7D6A" w:rsidP="009B7D6A">
      <w:pPr>
        <w:rPr>
          <w:sz w:val="24"/>
        </w:rPr>
        <w:sectPr w:rsidR="009B7D6A" w:rsidRPr="00923BEB">
          <w:type w:val="continuous"/>
          <w:pgSz w:w="11910" w:h="16840"/>
          <w:pgMar w:top="1740" w:right="600" w:bottom="840" w:left="620" w:header="720" w:footer="720" w:gutter="0"/>
          <w:cols w:space="720"/>
        </w:sectPr>
      </w:pPr>
    </w:p>
    <w:p w14:paraId="7E0297F2" w14:textId="77777777" w:rsidR="009B7D6A" w:rsidRPr="00923BEB" w:rsidRDefault="009B7D6A" w:rsidP="009B7D6A">
      <w:pPr>
        <w:pStyle w:val="BodyText"/>
        <w:spacing w:before="3"/>
        <w:rPr>
          <w:sz w:val="26"/>
        </w:rPr>
      </w:pPr>
    </w:p>
    <w:p w14:paraId="78A94238" w14:textId="77777777" w:rsidR="007E3640" w:rsidRPr="006C1FAA" w:rsidRDefault="007E3640"/>
    <w:sectPr w:rsidR="007E3640" w:rsidRPr="006C1FAA"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EE57A" w14:textId="77777777" w:rsidR="00AE3E37" w:rsidRDefault="009B7D6A">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623DF704" wp14:editId="7E3A484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5CF66" w14:textId="77777777" w:rsidR="00AE3E37" w:rsidRPr="005B3A56" w:rsidRDefault="009B7D6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F26ACD" w14:textId="77777777" w:rsidR="00AE3E37" w:rsidRPr="005B3A56" w:rsidRDefault="009B7D6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DF704"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5605CF66" w14:textId="77777777" w:rsidR="00AE3E37" w:rsidRPr="005B3A56" w:rsidRDefault="009B7D6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F26ACD" w14:textId="77777777" w:rsidR="00AE3E37" w:rsidRPr="005B3A56" w:rsidRDefault="009B7D6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1CF4380B" wp14:editId="6016CC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C762B" w14:textId="77777777" w:rsidR="00AE3E37" w:rsidRPr="005B3A56" w:rsidRDefault="009B7D6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EE39A5" w14:textId="77777777" w:rsidR="00AE3E37" w:rsidRPr="005B3A56" w:rsidRDefault="009B7D6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4380B"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6A1C762B" w14:textId="77777777" w:rsidR="00AE3E37" w:rsidRPr="005B3A56" w:rsidRDefault="009B7D6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EE39A5" w14:textId="77777777" w:rsidR="00AE3E37" w:rsidRPr="005B3A56" w:rsidRDefault="009B7D6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65BF514B" wp14:editId="779E9DD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290E9" w14:textId="77777777" w:rsidR="00AE3E37" w:rsidRPr="005B3A56" w:rsidRDefault="009B7D6A">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Pr>
                              <w:rFonts w:ascii="Arial"/>
                              <w:color w:val="FFFFFF" w:themeColor="background1"/>
                              <w:sz w:val="16"/>
                            </w:rPr>
                            <w:t>)</w:t>
                          </w:r>
                        </w:p>
                        <w:p w14:paraId="47DDE6B4" w14:textId="77777777" w:rsidR="00AE3E37" w:rsidRPr="005B3A56" w:rsidRDefault="009B7D6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F514B"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DE290E9" w14:textId="77777777" w:rsidR="00AE3E37" w:rsidRPr="005B3A56" w:rsidRDefault="009B7D6A">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Pr>
                        <w:rFonts w:ascii="Arial"/>
                        <w:color w:val="FFFFFF" w:themeColor="background1"/>
                        <w:sz w:val="16"/>
                      </w:rPr>
                      <w:t>)</w:t>
                    </w:r>
                  </w:p>
                  <w:p w14:paraId="47DDE6B4" w14:textId="77777777" w:rsidR="00AE3E37" w:rsidRPr="005B3A56" w:rsidRDefault="009B7D6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7730A" w14:textId="77777777" w:rsidR="00AE3E37" w:rsidRDefault="009B7D6A">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30D29FB" wp14:editId="3B10679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2132C" w14:textId="77777777" w:rsidR="00AE3E37" w:rsidRPr="005B3A56" w:rsidRDefault="009B7D6A">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D29F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1352132C" w14:textId="77777777" w:rsidR="00AE3E37" w:rsidRPr="005B3A56" w:rsidRDefault="009B7D6A">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7F61CFEF" wp14:editId="6672EEB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8875D" w14:textId="77777777" w:rsidR="00AE3E37" w:rsidRPr="005B3A56" w:rsidRDefault="009B7D6A">
                          <w:pPr>
                            <w:pStyle w:val="BodyText"/>
                            <w:spacing w:line="187" w:lineRule="exact"/>
                            <w:ind w:left="20" w:right="-10"/>
                            <w:rPr>
                              <w:rFonts w:ascii="Myriad Pro"/>
                              <w:color w:val="FFFFFF" w:themeColor="background1"/>
                            </w:rPr>
                          </w:pPr>
                          <w:r w:rsidRPr="005B3A56">
                            <w:rPr>
                              <w:rFonts w:ascii="Myriad Pro"/>
                              <w:color w:val="FFFFFF" w:themeColor="background1"/>
                            </w:rPr>
                            <w:t xml:space="preserve">International </w:t>
                          </w:r>
                          <w:r w:rsidRPr="005B3A56">
                            <w:rPr>
                              <w:rFonts w:ascii="Myriad Pro"/>
                              <w:color w:val="FFFFFF" w:themeColor="background1"/>
                            </w:rPr>
                            <w:t>Conference on</w:t>
                          </w:r>
                        </w:p>
                        <w:p w14:paraId="44FDCBC8" w14:textId="77777777" w:rsidR="00AE3E37" w:rsidRPr="005B3A56" w:rsidRDefault="009B7D6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1CFEF"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41C8875D" w14:textId="77777777" w:rsidR="00AE3E37" w:rsidRPr="005B3A56" w:rsidRDefault="009B7D6A">
                    <w:pPr>
                      <w:pStyle w:val="BodyText"/>
                      <w:spacing w:line="187" w:lineRule="exact"/>
                      <w:ind w:left="20" w:right="-10"/>
                      <w:rPr>
                        <w:rFonts w:ascii="Myriad Pro"/>
                        <w:color w:val="FFFFFF" w:themeColor="background1"/>
                      </w:rPr>
                    </w:pPr>
                    <w:r w:rsidRPr="005B3A56">
                      <w:rPr>
                        <w:rFonts w:ascii="Myriad Pro"/>
                        <w:color w:val="FFFFFF" w:themeColor="background1"/>
                      </w:rPr>
                      <w:t xml:space="preserve">International </w:t>
                    </w:r>
                    <w:r w:rsidRPr="005B3A56">
                      <w:rPr>
                        <w:rFonts w:ascii="Myriad Pro"/>
                        <w:color w:val="FFFFFF" w:themeColor="background1"/>
                      </w:rPr>
                      <w:t>Conference on</w:t>
                    </w:r>
                  </w:p>
                  <w:p w14:paraId="44FDCBC8" w14:textId="77777777" w:rsidR="00AE3E37" w:rsidRPr="005B3A56" w:rsidRDefault="009B7D6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F3683B"/>
    <w:multiLevelType w:val="hybridMultilevel"/>
    <w:tmpl w:val="DDCA16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FAA"/>
    <w:rsid w:val="001600E9"/>
    <w:rsid w:val="0016054C"/>
    <w:rsid w:val="00210FE8"/>
    <w:rsid w:val="00284E2F"/>
    <w:rsid w:val="002D0107"/>
    <w:rsid w:val="00300213"/>
    <w:rsid w:val="00311E67"/>
    <w:rsid w:val="00351DA4"/>
    <w:rsid w:val="003F21ED"/>
    <w:rsid w:val="003F40EA"/>
    <w:rsid w:val="00401A98"/>
    <w:rsid w:val="00404235"/>
    <w:rsid w:val="004219E6"/>
    <w:rsid w:val="006B34BC"/>
    <w:rsid w:val="006C1FAA"/>
    <w:rsid w:val="007336C5"/>
    <w:rsid w:val="0075081B"/>
    <w:rsid w:val="00752B00"/>
    <w:rsid w:val="007E3640"/>
    <w:rsid w:val="008711F9"/>
    <w:rsid w:val="008732B9"/>
    <w:rsid w:val="008A4FFB"/>
    <w:rsid w:val="008E419E"/>
    <w:rsid w:val="009B7D6A"/>
    <w:rsid w:val="00A32435"/>
    <w:rsid w:val="00A94AB1"/>
    <w:rsid w:val="00A97184"/>
    <w:rsid w:val="00AE1BB9"/>
    <w:rsid w:val="00B122EE"/>
    <w:rsid w:val="00B65B4A"/>
    <w:rsid w:val="00B84DC4"/>
    <w:rsid w:val="00C33419"/>
    <w:rsid w:val="00CB496D"/>
    <w:rsid w:val="00CC503D"/>
    <w:rsid w:val="00D1745F"/>
    <w:rsid w:val="00E1148B"/>
    <w:rsid w:val="00EA2EC5"/>
    <w:rsid w:val="00F12441"/>
    <w:rsid w:val="00F86C53"/>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0FFEEB5E"/>
  <w15:chartTrackingRefBased/>
  <w15:docId w15:val="{CD2418D3-38AD-7C40-97F8-69EE2F6C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7D6A"/>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9B7D6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9B7D6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C1FAA"/>
    <w:rPr>
      <w:sz w:val="18"/>
      <w:szCs w:val="18"/>
    </w:rPr>
  </w:style>
  <w:style w:type="character" w:customStyle="1" w:styleId="BodyTextChar">
    <w:name w:val="Body Text Char"/>
    <w:basedOn w:val="DefaultParagraphFont"/>
    <w:link w:val="BodyText"/>
    <w:uiPriority w:val="1"/>
    <w:rsid w:val="006C1FAA"/>
    <w:rPr>
      <w:rFonts w:ascii="Tw Cen MT" w:eastAsia="Tw Cen MT" w:hAnsi="Tw Cen MT" w:cs="Tw Cen MT"/>
      <w:sz w:val="18"/>
      <w:szCs w:val="18"/>
      <w:lang w:val="en-US"/>
    </w:rPr>
  </w:style>
  <w:style w:type="character" w:customStyle="1" w:styleId="Heading1Char">
    <w:name w:val="Heading 1 Char"/>
    <w:basedOn w:val="DefaultParagraphFont"/>
    <w:link w:val="Heading1"/>
    <w:uiPriority w:val="1"/>
    <w:rsid w:val="009B7D6A"/>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9B7D6A"/>
    <w:rPr>
      <w:rFonts w:ascii="Arial" w:eastAsia="Arial" w:hAnsi="Arial" w:cs="Arial"/>
      <w:b/>
      <w:bCs/>
      <w:sz w:val="20"/>
      <w:szCs w:val="20"/>
      <w:lang w:val="en-US"/>
    </w:rPr>
  </w:style>
  <w:style w:type="paragraph" w:styleId="ListParagraph">
    <w:name w:val="List Paragraph"/>
    <w:basedOn w:val="Normal"/>
    <w:uiPriority w:val="34"/>
    <w:qFormat/>
    <w:rsid w:val="009B7D6A"/>
    <w:pPr>
      <w:spacing w:before="90" w:line="200" w:lineRule="exact"/>
      <w:ind w:left="383" w:hanging="283"/>
      <w:jc w:val="both"/>
    </w:pPr>
    <w:rPr>
      <w:rFonts w:ascii="Calibri" w:eastAsia="Calibri" w:hAnsi="Calibri" w:cs="Calibri"/>
    </w:rPr>
  </w:style>
  <w:style w:type="paragraph" w:customStyle="1" w:styleId="EndNoteBibliography">
    <w:name w:val="EndNote Bibliography"/>
    <w:basedOn w:val="Normal"/>
    <w:link w:val="EndNoteBibliographyChar"/>
    <w:rsid w:val="009B7D6A"/>
    <w:pPr>
      <w:widowControl/>
    </w:pPr>
    <w:rPr>
      <w:rFonts w:ascii="Calibri" w:eastAsiaTheme="minorHAnsi" w:hAnsi="Calibri" w:cs="Calibri"/>
      <w:sz w:val="24"/>
      <w:szCs w:val="24"/>
    </w:rPr>
  </w:style>
  <w:style w:type="character" w:customStyle="1" w:styleId="EndNoteBibliographyChar">
    <w:name w:val="EndNote Bibliography Char"/>
    <w:basedOn w:val="DefaultParagraphFont"/>
    <w:link w:val="EndNoteBibliography"/>
    <w:rsid w:val="009B7D6A"/>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768</Words>
  <Characters>4618</Characters>
  <Application>Microsoft Office Word</Application>
  <DocSecurity>0</DocSecurity>
  <Lines>48</Lines>
  <Paragraphs>11</Paragraphs>
  <ScaleCrop>false</ScaleCrop>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Frostegård</dc:creator>
  <cp:keywords/>
  <dc:description/>
  <cp:lastModifiedBy>Johan Frostegård</cp:lastModifiedBy>
  <cp:revision>4</cp:revision>
  <dcterms:created xsi:type="dcterms:W3CDTF">2021-09-02T15:13:00Z</dcterms:created>
  <dcterms:modified xsi:type="dcterms:W3CDTF">2021-09-02T16:18:00Z</dcterms:modified>
</cp:coreProperties>
</file>