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8AC" w:rsidRPr="008138AC" w:rsidRDefault="008138AC" w:rsidP="00C32BFD">
      <w:pPr>
        <w:jc w:val="both"/>
        <w:rPr>
          <w:rFonts w:ascii="Times New Roman" w:hAnsi="Times New Roman" w:cs="Times New Roman"/>
          <w:b/>
          <w:color w:val="000000" w:themeColor="text1"/>
          <w:sz w:val="24"/>
          <w:szCs w:val="24"/>
          <w:u w:val="single"/>
        </w:rPr>
      </w:pPr>
      <w:bookmarkStart w:id="0" w:name="_GoBack"/>
      <w:bookmarkEnd w:id="0"/>
      <w:r w:rsidRPr="008138AC">
        <w:rPr>
          <w:rFonts w:ascii="Times New Roman" w:hAnsi="Times New Roman" w:cs="Times New Roman"/>
          <w:b/>
          <w:color w:val="000000" w:themeColor="text1"/>
          <w:sz w:val="24"/>
          <w:szCs w:val="24"/>
          <w:u w:val="single"/>
        </w:rPr>
        <w:t>ABSTRACT</w:t>
      </w:r>
    </w:p>
    <w:p w:rsidR="008138AC" w:rsidRDefault="008138AC" w:rsidP="00C32BFD">
      <w:pPr>
        <w:jc w:val="both"/>
        <w:rPr>
          <w:rFonts w:ascii="Times New Roman" w:hAnsi="Times New Roman" w:cs="Times New Roman"/>
          <w:b/>
          <w:color w:val="000000" w:themeColor="text1"/>
          <w:sz w:val="24"/>
          <w:szCs w:val="24"/>
        </w:rPr>
      </w:pPr>
    </w:p>
    <w:p w:rsidR="00C32BFD" w:rsidRPr="00C32BFD" w:rsidRDefault="00C32BFD" w:rsidP="008138AC">
      <w:pPr>
        <w:jc w:val="center"/>
        <w:rPr>
          <w:rFonts w:ascii="Times New Roman" w:hAnsi="Times New Roman" w:cs="Times New Roman"/>
          <w:b/>
          <w:color w:val="000000" w:themeColor="text1"/>
          <w:sz w:val="24"/>
          <w:szCs w:val="24"/>
        </w:rPr>
      </w:pPr>
      <w:r w:rsidRPr="00C32BFD">
        <w:rPr>
          <w:rFonts w:ascii="Times New Roman" w:hAnsi="Times New Roman" w:cs="Times New Roman"/>
          <w:b/>
          <w:color w:val="000000" w:themeColor="text1"/>
          <w:sz w:val="24"/>
          <w:szCs w:val="24"/>
        </w:rPr>
        <w:t>PREPARATION OF GRAPHENE/MOLYBDENUM DISULFIDE BASED ELECTRODES AND ITS ELECTROCHEMICAL PERFORMANCE IN SUPERCAPACITORS</w:t>
      </w:r>
    </w:p>
    <w:p w:rsidR="00C32BFD" w:rsidRDefault="00C32BFD" w:rsidP="00C32BFD">
      <w:pPr>
        <w:jc w:val="both"/>
        <w:rPr>
          <w:rFonts w:ascii="Times New Roman" w:hAnsi="Times New Roman" w:cs="Times New Roman"/>
          <w:color w:val="000000" w:themeColor="text1"/>
          <w:sz w:val="24"/>
          <w:szCs w:val="24"/>
        </w:rPr>
      </w:pPr>
    </w:p>
    <w:p w:rsidR="00F34DDC" w:rsidRDefault="00C32BFD" w:rsidP="00C32BFD">
      <w:pPr>
        <w:jc w:val="both"/>
      </w:pPr>
      <w:r w:rsidRPr="00304AF2">
        <w:rPr>
          <w:rFonts w:ascii="Times New Roman" w:hAnsi="Times New Roman" w:cs="Times New Roman"/>
          <w:color w:val="000000" w:themeColor="text1"/>
          <w:sz w:val="24"/>
          <w:szCs w:val="24"/>
        </w:rPr>
        <w:t>Supercapacitor is highly promising energy device due to its electrical charge storage performance and significant lifecycle ability. Construction of the supercapacitor cell especially its electrode fabrication is critical to ensure great application performance. The purpose of this research is to fabricate the molybdenum disulfide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graphene and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hybrid electrode and their usage as symmetric and asymmetric supercapacitors. The electrode was prepared by using a simple and facile slurry technique. By this, XRD was used to analyze the crystal phase and structure of the as-prepared graphene,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and G/ MoS</w:t>
      </w:r>
      <w:r w:rsidRPr="00304AF2">
        <w:rPr>
          <w:rFonts w:ascii="Times New Roman" w:hAnsi="Times New Roman" w:cs="Times New Roman"/>
          <w:color w:val="000000" w:themeColor="text1"/>
          <w:sz w:val="24"/>
          <w:szCs w:val="24"/>
          <w:vertAlign w:val="subscript"/>
        </w:rPr>
        <w:t xml:space="preserve">2 </w:t>
      </w:r>
      <w:r w:rsidRPr="00304AF2">
        <w:rPr>
          <w:rFonts w:ascii="Times New Roman" w:hAnsi="Times New Roman" w:cs="Times New Roman"/>
          <w:color w:val="000000" w:themeColor="text1"/>
          <w:sz w:val="24"/>
          <w:szCs w:val="24"/>
        </w:rPr>
        <w:t>hybrid. The peaks at 14.3°, 33.8°, and 57.5° are attributed to the (002), (100), and (110) plane of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crystal. From Raman spectroscopy shows the characteristic peaks of graphene (D, G and 2D) and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(E</w:t>
      </w:r>
      <w:r w:rsidRPr="00304AF2">
        <w:rPr>
          <w:rFonts w:ascii="Times New Roman" w:hAnsi="Times New Roman" w:cs="Times New Roman"/>
          <w:color w:val="000000" w:themeColor="text1"/>
          <w:sz w:val="24"/>
          <w:szCs w:val="24"/>
          <w:vertAlign w:val="superscript"/>
        </w:rPr>
        <w:t>1</w:t>
      </w:r>
      <w:r w:rsidRPr="00304AF2">
        <w:rPr>
          <w:rFonts w:ascii="Times New Roman" w:hAnsi="Times New Roman" w:cs="Times New Roman"/>
          <w:color w:val="000000" w:themeColor="text1"/>
          <w:sz w:val="24"/>
          <w:szCs w:val="24"/>
          <w:vertAlign w:val="subscript"/>
        </w:rPr>
        <w:t>2g</w:t>
      </w:r>
      <w:r w:rsidRPr="00304AF2">
        <w:rPr>
          <w:rFonts w:ascii="Times New Roman" w:hAnsi="Times New Roman" w:cs="Times New Roman"/>
          <w:color w:val="000000" w:themeColor="text1"/>
          <w:sz w:val="24"/>
          <w:szCs w:val="24"/>
        </w:rPr>
        <w:t xml:space="preserve"> band at 377 cm</w:t>
      </w:r>
      <w:r w:rsidRPr="00304AF2">
        <w:rPr>
          <w:rFonts w:ascii="Times New Roman" w:hAnsi="Times New Roman" w:cs="Times New Roman"/>
          <w:color w:val="000000" w:themeColor="text1"/>
          <w:sz w:val="24"/>
          <w:szCs w:val="24"/>
          <w:vertAlign w:val="superscript"/>
        </w:rPr>
        <w:t>−1</w:t>
      </w:r>
      <w:r w:rsidRPr="00304AF2">
        <w:rPr>
          <w:rFonts w:ascii="Times New Roman" w:hAnsi="Times New Roman" w:cs="Times New Roman"/>
          <w:color w:val="000000" w:themeColor="text1"/>
          <w:sz w:val="24"/>
          <w:szCs w:val="24"/>
        </w:rPr>
        <w:t xml:space="preserve"> and A</w:t>
      </w:r>
      <w:r w:rsidRPr="00304AF2">
        <w:rPr>
          <w:rFonts w:ascii="Times New Roman" w:hAnsi="Times New Roman" w:cs="Times New Roman"/>
          <w:color w:val="000000" w:themeColor="text1"/>
          <w:sz w:val="24"/>
          <w:szCs w:val="24"/>
          <w:vertAlign w:val="subscript"/>
        </w:rPr>
        <w:t>1g</w:t>
      </w:r>
      <w:r w:rsidRPr="00304AF2">
        <w:rPr>
          <w:rFonts w:ascii="Times New Roman" w:hAnsi="Times New Roman" w:cs="Times New Roman"/>
          <w:color w:val="000000" w:themeColor="text1"/>
          <w:sz w:val="24"/>
          <w:szCs w:val="24"/>
        </w:rPr>
        <w:t xml:space="preserve"> band at 403 cm</w:t>
      </w:r>
      <w:r w:rsidRPr="00304AF2">
        <w:rPr>
          <w:rFonts w:ascii="Times New Roman" w:hAnsi="Times New Roman" w:cs="Times New Roman"/>
          <w:color w:val="000000" w:themeColor="text1"/>
          <w:sz w:val="24"/>
          <w:szCs w:val="24"/>
          <w:vertAlign w:val="superscript"/>
        </w:rPr>
        <w:t>−1</w:t>
      </w:r>
      <w:r w:rsidRPr="00304AF2">
        <w:rPr>
          <w:rFonts w:ascii="Times New Roman" w:hAnsi="Times New Roman" w:cs="Times New Roman"/>
          <w:color w:val="000000" w:themeColor="text1"/>
          <w:sz w:val="24"/>
          <w:szCs w:val="24"/>
        </w:rPr>
        <w:t>) are retained in the Raman spectra of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which can confirm the fact that the hybrid of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is composed of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and graphene. Next, the XPS analysis was carried out to deduce the exact elemental composition of the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The full scan of the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gives the characteristic peaks for Mo 3d, S 2p, C 1s and O 1s with their corresponding binding energies. The morphologies and microstructures of the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graphene and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are systematically characterized by FESEM observation. The high resolution of FESEM image further reveals that the MoS</w:t>
      </w:r>
      <w:r w:rsidRPr="00304AF2">
        <w:rPr>
          <w:rFonts w:ascii="Times New Roman" w:hAnsi="Times New Roman" w:cs="Times New Roman"/>
          <w:color w:val="000000" w:themeColor="text1"/>
          <w:sz w:val="24"/>
          <w:szCs w:val="24"/>
          <w:vertAlign w:val="subscript"/>
        </w:rPr>
        <w:t xml:space="preserve">2 </w:t>
      </w:r>
      <w:r w:rsidRPr="00304AF2">
        <w:rPr>
          <w:rFonts w:ascii="Times New Roman" w:hAnsi="Times New Roman" w:cs="Times New Roman"/>
          <w:color w:val="000000" w:themeColor="text1"/>
          <w:sz w:val="24"/>
          <w:szCs w:val="24"/>
        </w:rPr>
        <w:t>structures are constructed with layers of nanosheets. Meanwhile, FESEM image of graphene sheets illustrating the uniformly distributed of graphene into the Ni foam. Also, the inclusion of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nanosheets resulted in a rough surface, logically due to co-stacking of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nanosheets over the graphene nanosheets. Further, the morphology of the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was examined by TEM and reveals the crystal lattice structure of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and graphene in G/MoS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The interlayer spacing of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xml:space="preserve"> in the hybrid were estimated to be ~0.63 nm, which can be indexed to their (002) lattice planes of hexagonal phase of MoS</w:t>
      </w:r>
      <w:r w:rsidRPr="00304AF2">
        <w:rPr>
          <w:rFonts w:ascii="Times New Roman" w:hAnsi="Times New Roman" w:cs="Times New Roman"/>
          <w:color w:val="000000" w:themeColor="text1"/>
          <w:sz w:val="24"/>
          <w:szCs w:val="24"/>
          <w:vertAlign w:val="subscript"/>
        </w:rPr>
        <w:t>2</w:t>
      </w:r>
      <w:r w:rsidRPr="00304AF2">
        <w:rPr>
          <w:rFonts w:ascii="Times New Roman" w:hAnsi="Times New Roman" w:cs="Times New Roman"/>
          <w:color w:val="000000" w:themeColor="text1"/>
          <w:sz w:val="24"/>
          <w:szCs w:val="24"/>
        </w:rPr>
        <w:t>. Regardless of the difference in electrode being used, cyclic voltammetry (CV) analysis from the supercapacitor depicted a relatively good specific gravimetric capacitance (</w:t>
      </w:r>
      <w:r w:rsidRPr="00304AF2">
        <w:rPr>
          <w:rFonts w:ascii="Times New Roman" w:hAnsi="Times New Roman" w:cs="Times New Roman"/>
          <w:i/>
          <w:color w:val="000000" w:themeColor="text1"/>
          <w:sz w:val="24"/>
          <w:szCs w:val="24"/>
        </w:rPr>
        <w:t>C</w:t>
      </w:r>
      <w:r w:rsidRPr="00304AF2">
        <w:rPr>
          <w:rFonts w:ascii="Times New Roman" w:hAnsi="Times New Roman" w:cs="Times New Roman"/>
          <w:color w:val="000000" w:themeColor="text1"/>
          <w:sz w:val="24"/>
          <w:szCs w:val="24"/>
          <w:vertAlign w:val="subscript"/>
        </w:rPr>
        <w:t>sp</w:t>
      </w:r>
      <w:r w:rsidRPr="00304AF2">
        <w:rPr>
          <w:rFonts w:ascii="Times New Roman" w:hAnsi="Times New Roman" w:cs="Times New Roman"/>
          <w:color w:val="000000" w:themeColor="text1"/>
          <w:sz w:val="24"/>
          <w:szCs w:val="24"/>
        </w:rPr>
        <w:t>) and rate capability performance. A nearly rectangular-shaped CV curve was observed even at high scan rate. Besides, from the charge-discharge measurement, the symmetrical triangular curves reveal that there is no IR drops or voltage drops because of low internal resistance in the electrodes. Also, the electrode shows excellent discharge behavior and good capacitance retention of up to 10,000 cycles. Thus, this 2D heterostructures may provide excellent rate capabilities, high capacitance, and long lifecycle energy device. This is very promising for the development of high energy and high power density of device for multi-scale applications or industries.</w:t>
      </w:r>
    </w:p>
    <w:sectPr w:rsidR="00F34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BFD"/>
    <w:rsid w:val="00055757"/>
    <w:rsid w:val="00130CC0"/>
    <w:rsid w:val="00227E4D"/>
    <w:rsid w:val="002822CC"/>
    <w:rsid w:val="003507CD"/>
    <w:rsid w:val="004008E0"/>
    <w:rsid w:val="00404535"/>
    <w:rsid w:val="004B762A"/>
    <w:rsid w:val="005241EC"/>
    <w:rsid w:val="006C2AC1"/>
    <w:rsid w:val="007973DD"/>
    <w:rsid w:val="008138AC"/>
    <w:rsid w:val="00BF1BA2"/>
    <w:rsid w:val="00C32BFD"/>
    <w:rsid w:val="00C60582"/>
    <w:rsid w:val="00CD234E"/>
    <w:rsid w:val="00D61DAD"/>
    <w:rsid w:val="00DA15B0"/>
    <w:rsid w:val="00DC3A1D"/>
    <w:rsid w:val="00F34DDC"/>
    <w:rsid w:val="00FD2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69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mohd asyadi azam mohd abid</dc:creator>
  <cp:lastModifiedBy>mohd asyadi azam mohd abid</cp:lastModifiedBy>
  <cp:revision>2</cp:revision>
  <dcterms:created xsi:type="dcterms:W3CDTF">2019-12-07T17:16:00Z</dcterms:created>
  <dcterms:modified xsi:type="dcterms:W3CDTF">2019-12-07T17:16:00Z</dcterms:modified>
</cp:coreProperties>
</file>