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6016F3" w:rsidP="00494130">
      <w:pPr>
        <w:pStyle w:val="Heading1"/>
        <w:spacing w:before="170"/>
        <w:ind w:left="0"/>
      </w:pPr>
      <w:r>
        <w:rPr>
          <w:color w:val="337AB7"/>
        </w:rPr>
        <w:t xml:space="preserve">High-energy supercapacitor </w:t>
      </w:r>
      <w:r w:rsidR="006917A5">
        <w:rPr>
          <w:color w:val="337AB7"/>
        </w:rPr>
        <w:t>based on activated carbon</w:t>
      </w:r>
      <w:r>
        <w:rPr>
          <w:color w:val="337AB7"/>
        </w:rPr>
        <w:t xml:space="preserve"> derived from Arachis hypogea </w:t>
      </w:r>
      <w:r w:rsidR="00C55085">
        <w:rPr>
          <w:color w:val="337AB7"/>
        </w:rPr>
        <w:t>biomass using</w:t>
      </w:r>
      <w:r w:rsidR="006917A5">
        <w:rPr>
          <w:color w:val="337AB7"/>
        </w:rPr>
        <w:t xml:space="preserve"> different</w:t>
      </w:r>
      <w:r w:rsidR="00B2279A">
        <w:rPr>
          <w:color w:val="337AB7"/>
        </w:rPr>
        <w:t xml:space="preserve"> activating agent</w:t>
      </w:r>
      <w:r w:rsidR="00065C8C">
        <w:rPr>
          <w:color w:val="337AB7"/>
        </w:rPr>
        <w:t>s</w:t>
      </w:r>
      <w:r w:rsidR="00B2279A">
        <w:rPr>
          <w:color w:val="337AB7"/>
        </w:rPr>
        <w:t xml:space="preserve"> </w:t>
      </w:r>
    </w:p>
    <w:p w:rsidR="009D17FB" w:rsidRDefault="00B2279A" w:rsidP="005973B9">
      <w:pPr>
        <w:pStyle w:val="BodyText"/>
        <w:spacing w:before="73" w:line="198" w:lineRule="exact"/>
        <w:ind w:left="100" w:right="5987"/>
        <w:rPr>
          <w:rFonts w:ascii="Arial"/>
        </w:rPr>
      </w:pPr>
      <w:r>
        <w:rPr>
          <w:rFonts w:ascii="Arial"/>
        </w:rPr>
        <w:t>Ncholu Manyala</w:t>
      </w:r>
      <w:r w:rsidR="009D17FB">
        <w:rPr>
          <w:rFonts w:ascii="Arial"/>
        </w:rPr>
        <w:t xml:space="preserve">, </w:t>
      </w:r>
      <w:r>
        <w:rPr>
          <w:rFonts w:ascii="Arial"/>
        </w:rPr>
        <w:t>PhD,</w:t>
      </w:r>
      <w:r w:rsidRPr="00B2279A">
        <w:rPr>
          <w:rFonts w:ascii="Arial" w:hAnsi="Arial" w:cs="Arial"/>
          <w:color w:val="737373"/>
          <w:sz w:val="21"/>
          <w:szCs w:val="21"/>
        </w:rPr>
        <w:t xml:space="preserve"> </w:t>
      </w:r>
      <w:r w:rsidR="009D17FB">
        <w:rPr>
          <w:rFonts w:ascii="Arial"/>
        </w:rPr>
        <w:t xml:space="preserve">Department of Physics, Institute of                </w:t>
      </w:r>
      <w:r w:rsidRPr="00B2279A">
        <w:rPr>
          <w:rFonts w:ascii="Arial"/>
        </w:rPr>
        <w:t>Applied Materials, SARChI Chair in Carbon Technology and Materials, University of Pretor</w:t>
      </w:r>
      <w:r w:rsidR="009D17FB">
        <w:rPr>
          <w:rFonts w:ascii="Arial"/>
        </w:rPr>
        <w:t>ia, Pretoria, 0028, South Africa</w:t>
      </w:r>
      <w:r w:rsidR="005973B9">
        <w:rPr>
          <w:rFonts w:ascii="Arial"/>
        </w:rPr>
        <w:t xml:space="preserve"> </w:t>
      </w:r>
    </w:p>
    <w:p w:rsidR="00084D91" w:rsidRPr="00084D91" w:rsidRDefault="00084D91" w:rsidP="00084D91">
      <w:pPr>
        <w:pStyle w:val="BodyText"/>
        <w:spacing w:before="73" w:line="198" w:lineRule="exact"/>
        <w:ind w:left="100" w:right="5987"/>
        <w:rPr>
          <w:rFonts w:ascii="Arial"/>
        </w:rPr>
      </w:pPr>
      <w:r>
        <w:rPr>
          <w:rFonts w:ascii="Arial"/>
        </w:rPr>
        <w:t>Ndeye F</w:t>
      </w:r>
      <w:r w:rsidR="000229A2">
        <w:rPr>
          <w:rFonts w:ascii="Arial"/>
        </w:rPr>
        <w:t>.</w:t>
      </w:r>
      <w:r>
        <w:rPr>
          <w:rFonts w:ascii="Arial"/>
        </w:rPr>
        <w:t xml:space="preserve"> </w:t>
      </w:r>
      <w:proofErr w:type="spellStart"/>
      <w:r>
        <w:rPr>
          <w:rFonts w:ascii="Arial"/>
        </w:rPr>
        <w:t>Sylla</w:t>
      </w:r>
      <w:proofErr w:type="spellEnd"/>
      <w:r w:rsidR="005973B9">
        <w:rPr>
          <w:rFonts w:ascii="Arial"/>
        </w:rPr>
        <w:t xml:space="preserve">, </w:t>
      </w:r>
      <w:r w:rsidR="00D24738">
        <w:rPr>
          <w:rFonts w:ascii="Arial"/>
        </w:rPr>
        <w:t xml:space="preserve">MSc, </w:t>
      </w:r>
      <w:r w:rsidRPr="00084D91">
        <w:rPr>
          <w:rFonts w:ascii="Arial"/>
        </w:rPr>
        <w:t xml:space="preserve">Department of Physics, Institute of                Applied Materials, SARChI Chair in Carbon Technology and Materials, University of Pretoria, Pretoria, 0028, South Africa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0F6854">
        <w:rPr>
          <w:color w:val="BF5A14"/>
        </w:rPr>
        <w:t xml:space="preserve"> </w:t>
      </w:r>
    </w:p>
    <w:p w:rsidR="00AE3E37" w:rsidRPr="00BE7B03" w:rsidRDefault="003C7395" w:rsidP="00BE7B03">
      <w:pPr>
        <w:pStyle w:val="BodyText"/>
        <w:spacing w:before="90" w:line="280" w:lineRule="auto"/>
        <w:ind w:left="100"/>
        <w:jc w:val="both"/>
        <w:rPr>
          <w:lang w:val="en-ZA"/>
        </w:rPr>
      </w:pPr>
      <w:r>
        <w:t>In this work</w:t>
      </w:r>
      <w:r w:rsidR="009D17FB">
        <w:t xml:space="preserve">, porous activated carbon nanostructures </w:t>
      </w:r>
      <w:r w:rsidR="00720F79">
        <w:t xml:space="preserve">were prepared </w:t>
      </w:r>
      <w:r w:rsidR="009D17FB">
        <w:t xml:space="preserve">from peanut (Arachis hypogea) </w:t>
      </w:r>
      <w:r w:rsidR="00720F79">
        <w:t>shell waste (PSW)</w:t>
      </w:r>
      <w:r w:rsidR="00BE7B03">
        <w:t xml:space="preserve"> via</w:t>
      </w:r>
      <w:r w:rsidR="009D17FB">
        <w:t xml:space="preserve"> </w:t>
      </w:r>
      <w:r w:rsidR="00BE7B03" w:rsidRPr="00BE7B03">
        <w:rPr>
          <w:lang w:val="en-ZA"/>
        </w:rPr>
        <w:t>two-st</w:t>
      </w:r>
      <w:r w:rsidR="00BE7B03">
        <w:rPr>
          <w:lang w:val="en-ZA"/>
        </w:rPr>
        <w:t xml:space="preserve">ep carbonization (CPSW) and activation </w:t>
      </w:r>
      <w:r w:rsidR="00BE7B03" w:rsidRPr="00BE7B03">
        <w:rPr>
          <w:lang w:val="en-ZA"/>
        </w:rPr>
        <w:t>process at eleva</w:t>
      </w:r>
      <w:r w:rsidR="00BE7B03">
        <w:rPr>
          <w:lang w:val="en-ZA"/>
        </w:rPr>
        <w:t>ted temperature using different activat</w:t>
      </w:r>
      <w:r w:rsidR="00BE7B03" w:rsidRPr="00BE7B03">
        <w:rPr>
          <w:lang w:val="en-ZA"/>
        </w:rPr>
        <w:t xml:space="preserve">ing agents </w:t>
      </w:r>
      <w:r w:rsidR="00BE7B03">
        <w:t>KHCO</w:t>
      </w:r>
      <w:r w:rsidR="00BE7B03" w:rsidRPr="00720F79">
        <w:rPr>
          <w:vertAlign w:val="subscript"/>
        </w:rPr>
        <w:t>3</w:t>
      </w:r>
      <w:r w:rsidR="00BE7B03" w:rsidRPr="00BE7B03">
        <w:rPr>
          <w:lang w:val="en-ZA"/>
        </w:rPr>
        <w:t xml:space="preserve">, </w:t>
      </w:r>
      <w:r w:rsidR="00BE7B03">
        <w:t>K</w:t>
      </w:r>
      <w:r w:rsidR="00BE7B03" w:rsidRPr="00720F79">
        <w:rPr>
          <w:vertAlign w:val="subscript"/>
        </w:rPr>
        <w:t>2</w:t>
      </w:r>
      <w:r w:rsidR="00BE7B03">
        <w:t>CO</w:t>
      </w:r>
      <w:r w:rsidR="00BE7B03" w:rsidRPr="00720F79">
        <w:rPr>
          <w:vertAlign w:val="subscript"/>
        </w:rPr>
        <w:t>3</w:t>
      </w:r>
      <w:r w:rsidR="00BE7B03" w:rsidRPr="00BE7B03">
        <w:rPr>
          <w:lang w:val="en-ZA"/>
        </w:rPr>
        <w:t xml:space="preserve"> </w:t>
      </w:r>
      <w:r w:rsidR="00BE7B03">
        <w:rPr>
          <w:lang w:val="en-ZA"/>
        </w:rPr>
        <w:t xml:space="preserve">and KOH with </w:t>
      </w:r>
      <w:r w:rsidR="00BE7B03" w:rsidRPr="00BE7B03">
        <w:rPr>
          <w:lang w:val="en-ZA"/>
        </w:rPr>
        <w:t>varying mass ratios</w:t>
      </w:r>
      <w:r w:rsidR="009D17FB">
        <w:t>. The textural properties obtained were depicted with relatively high specific surface area values of 1457 m</w:t>
      </w:r>
      <w:r w:rsidR="009D17FB" w:rsidRPr="000F6854">
        <w:rPr>
          <w:vertAlign w:val="superscript"/>
        </w:rPr>
        <w:t>2</w:t>
      </w:r>
      <w:r w:rsidR="009D17FB">
        <w:t xml:space="preserve"> g</w:t>
      </w:r>
      <w:r w:rsidR="009D17FB" w:rsidRPr="000F6854">
        <w:rPr>
          <w:rFonts w:ascii="Arial" w:hAnsi="Arial" w:cs="Arial"/>
          <w:vertAlign w:val="superscript"/>
        </w:rPr>
        <w:t>−</w:t>
      </w:r>
      <w:r w:rsidR="009D17FB" w:rsidRPr="000F6854">
        <w:rPr>
          <w:vertAlign w:val="superscript"/>
        </w:rPr>
        <w:t>1</w:t>
      </w:r>
      <w:r w:rsidR="009D17FB">
        <w:t xml:space="preserve">, </w:t>
      </w:r>
      <w:proofErr w:type="gramStart"/>
      <w:r w:rsidR="009D17FB">
        <w:t>1625 m</w:t>
      </w:r>
      <w:r w:rsidR="009D17FB" w:rsidRPr="000F6854">
        <w:rPr>
          <w:vertAlign w:val="superscript"/>
        </w:rPr>
        <w:t>2</w:t>
      </w:r>
      <w:proofErr w:type="gramEnd"/>
      <w:r w:rsidR="009D17FB">
        <w:t xml:space="preserve"> g</w:t>
      </w:r>
      <w:r w:rsidR="009D17FB" w:rsidRPr="000F6854">
        <w:rPr>
          <w:rFonts w:ascii="Arial" w:hAnsi="Arial" w:cs="Arial"/>
          <w:vertAlign w:val="superscript"/>
        </w:rPr>
        <w:t>−</w:t>
      </w:r>
      <w:r w:rsidR="009D17FB" w:rsidRPr="000F6854">
        <w:rPr>
          <w:vertAlign w:val="superscript"/>
        </w:rPr>
        <w:t>1</w:t>
      </w:r>
      <w:r w:rsidR="009D17FB">
        <w:t xml:space="preserve"> and 2547 m</w:t>
      </w:r>
      <w:r w:rsidR="009D17FB" w:rsidRPr="000F6854">
        <w:rPr>
          <w:vertAlign w:val="superscript"/>
        </w:rPr>
        <w:t>2</w:t>
      </w:r>
      <w:r w:rsidR="009D17FB">
        <w:t xml:space="preserve"> g</w:t>
      </w:r>
      <w:r w:rsidR="009D17FB" w:rsidRPr="000F6854">
        <w:rPr>
          <w:rFonts w:ascii="Arial" w:hAnsi="Arial" w:cs="Arial"/>
          <w:vertAlign w:val="superscript"/>
        </w:rPr>
        <w:t>−</w:t>
      </w:r>
      <w:r w:rsidR="009D17FB" w:rsidRPr="000F6854">
        <w:rPr>
          <w:vertAlign w:val="superscript"/>
        </w:rPr>
        <w:t>1</w:t>
      </w:r>
      <w:r w:rsidR="009D17FB">
        <w:t xml:space="preserve"> for KHCO</w:t>
      </w:r>
      <w:r w:rsidR="009D17FB" w:rsidRPr="000F6854">
        <w:rPr>
          <w:vertAlign w:val="subscript"/>
        </w:rPr>
        <w:t>3</w:t>
      </w:r>
      <w:r w:rsidR="009D17FB">
        <w:t>, K</w:t>
      </w:r>
      <w:r w:rsidR="009D17FB" w:rsidRPr="000F6854">
        <w:rPr>
          <w:vertAlign w:val="subscript"/>
        </w:rPr>
        <w:t>2</w:t>
      </w:r>
      <w:r w:rsidR="009D17FB">
        <w:t>CO</w:t>
      </w:r>
      <w:r w:rsidR="009D17FB" w:rsidRPr="000F6854">
        <w:rPr>
          <w:vertAlign w:val="subscript"/>
        </w:rPr>
        <w:t>3</w:t>
      </w:r>
      <w:r w:rsidR="009D17FB">
        <w:t xml:space="preserve"> and KOH respectively at a mas</w:t>
      </w:r>
      <w:r w:rsidR="000F6854">
        <w:t xml:space="preserve">s concentration of 1 to 4 which </w:t>
      </w:r>
      <w:r w:rsidR="009D17FB">
        <w:t>were complemented by the presence of a blend of micropores, mesopores and macropores. The structural analyses confirmed the successful transformation of the carbon-containing waste into an amorphous and disordered carbonaceous material. The electrochemical performance of the material electrodes was tested in a 2.5 M KNO</w:t>
      </w:r>
      <w:r w:rsidR="009D17FB" w:rsidRPr="000F6854">
        <w:rPr>
          <w:vertAlign w:val="subscript"/>
        </w:rPr>
        <w:t>3</w:t>
      </w:r>
      <w:r w:rsidR="009D17FB">
        <w:t xml:space="preserve"> aqueous electrolyte depicted its ability to operate reversibly in both negative and positive potential ranges of 0.90 V. The activated carbon obtained from the carbonize</w:t>
      </w:r>
      <w:r w:rsidR="00065C8C">
        <w:t>d CPSW</w:t>
      </w:r>
      <w:proofErr w:type="gramStart"/>
      <w:r w:rsidR="00065C8C">
        <w:t>:A</w:t>
      </w:r>
      <w:r w:rsidR="009D17FB">
        <w:t>A</w:t>
      </w:r>
      <w:proofErr w:type="gramEnd"/>
      <w:r w:rsidR="009D17FB">
        <w:t xml:space="preserve"> with a mass ratio of 1:4 yielded the best electrode perform</w:t>
      </w:r>
      <w:r w:rsidR="00065C8C">
        <w:t>ance for all featured A</w:t>
      </w:r>
      <w:r w:rsidR="009D17FB">
        <w:t>As. The porous carbons obtained using KOH activation displayed a higher specific capacitance and the lower equivalent series resistance as compared to others. The remarkable performance further corroborated the findings linked to the textural and structural properties of the material. The assembled device operated in a neutral electrolyte (2.5 M KNO</w:t>
      </w:r>
      <w:r w:rsidR="009D17FB" w:rsidRPr="000F6854">
        <w:rPr>
          <w:vertAlign w:val="subscript"/>
        </w:rPr>
        <w:t>3</w:t>
      </w:r>
      <w:r w:rsidR="009D17FB">
        <w:t>) at a cell potential of 1.80 V, yielded a ca. 224.3 F g</w:t>
      </w:r>
      <w:r w:rsidR="009D17FB" w:rsidRPr="000F6854">
        <w:rPr>
          <w:rFonts w:ascii="Arial" w:hAnsi="Arial" w:cs="Arial"/>
          <w:vertAlign w:val="superscript"/>
        </w:rPr>
        <w:t>−</w:t>
      </w:r>
      <w:r w:rsidR="009D17FB" w:rsidRPr="000F6854">
        <w:rPr>
          <w:vertAlign w:val="superscript"/>
        </w:rPr>
        <w:t>1</w:t>
      </w:r>
      <w:r w:rsidR="009D17FB">
        <w:t xml:space="preserve"> specific capacitance at a specific current of 1 A g</w:t>
      </w:r>
      <w:r w:rsidR="009D17FB" w:rsidRPr="000F6854">
        <w:rPr>
          <w:rFonts w:ascii="Arial" w:hAnsi="Arial" w:cs="Arial"/>
          <w:vertAlign w:val="superscript"/>
        </w:rPr>
        <w:t>−</w:t>
      </w:r>
      <w:r w:rsidR="009D17FB" w:rsidRPr="000F6854">
        <w:rPr>
          <w:vertAlign w:val="superscript"/>
        </w:rPr>
        <w:t>1</w:t>
      </w:r>
      <w:r w:rsidR="009D17FB">
        <w:t xml:space="preserve"> with a corresponding specific energy of 25.2 Wh kg</w:t>
      </w:r>
      <w:r w:rsidR="009D17FB" w:rsidRPr="000F6854">
        <w:rPr>
          <w:rFonts w:ascii="Arial" w:hAnsi="Arial" w:cs="Arial"/>
          <w:vertAlign w:val="superscript"/>
        </w:rPr>
        <w:t>−</w:t>
      </w:r>
      <w:r w:rsidR="009D17FB" w:rsidRPr="000F6854">
        <w:rPr>
          <w:vertAlign w:val="superscript"/>
        </w:rPr>
        <w:t>1</w:t>
      </w:r>
      <w:r w:rsidR="009D17FB">
        <w:t xml:space="preserve"> and 0.9 kW kg</w:t>
      </w:r>
      <w:r w:rsidR="009D17FB" w:rsidRPr="000F6854">
        <w:rPr>
          <w:rFonts w:ascii="Arial" w:hAnsi="Arial" w:cs="Arial"/>
          <w:vertAlign w:val="superscript"/>
        </w:rPr>
        <w:t>−</w:t>
      </w:r>
      <w:r w:rsidR="009D17FB" w:rsidRPr="000F6854">
        <w:rPr>
          <w:vertAlign w:val="superscript"/>
        </w:rPr>
        <w:t>1</w:t>
      </w:r>
      <w:r w:rsidR="009D17FB">
        <w:t xml:space="preserve"> of specific power. This device energy was retained at 17.7 </w:t>
      </w:r>
      <w:proofErr w:type="gramStart"/>
      <w:r w:rsidR="009D17FB">
        <w:t>Wh</w:t>
      </w:r>
      <w:proofErr w:type="gramEnd"/>
      <w:r w:rsidR="009D17FB">
        <w:t xml:space="preserve"> kg</w:t>
      </w:r>
      <w:r w:rsidR="009D17FB" w:rsidRPr="000F6854">
        <w:rPr>
          <w:rFonts w:ascii="Arial" w:hAnsi="Arial" w:cs="Arial"/>
          <w:vertAlign w:val="superscript"/>
        </w:rPr>
        <w:t>−</w:t>
      </w:r>
      <w:r w:rsidR="009D17FB" w:rsidRPr="000F6854">
        <w:rPr>
          <w:vertAlign w:val="superscript"/>
        </w:rPr>
        <w:t>1</w:t>
      </w:r>
      <w:r w:rsidR="009D17FB">
        <w:t xml:space="preserve"> when the specific current was quadrupled signifying an excellent supercapacitive retention with a corresponding specific power of 3.6 kW kg</w:t>
      </w:r>
      <w:r w:rsidR="009D17FB" w:rsidRPr="000F6854">
        <w:rPr>
          <w:rFonts w:ascii="Arial" w:hAnsi="Arial" w:cs="Arial"/>
          <w:vertAlign w:val="superscript"/>
        </w:rPr>
        <w:t>−</w:t>
      </w:r>
      <w:r w:rsidR="009D17FB" w:rsidRPr="000F6854">
        <w:rPr>
          <w:vertAlign w:val="superscript"/>
        </w:rPr>
        <w:t>1</w:t>
      </w:r>
      <w:r w:rsidR="009D17FB">
        <w:t>. These results suggested that peanut shell waste derived activated carbons are promising candidates for high-performance supercapacitors.</w:t>
      </w:r>
      <w:r w:rsidR="00A9710C">
        <w:t xml:space="preserve"> </w:t>
      </w:r>
    </w:p>
    <w:p w:rsidR="005973B9" w:rsidRPr="000229A2" w:rsidRDefault="00A9710C" w:rsidP="000229A2">
      <w:pPr>
        <w:pStyle w:val="Heading3"/>
        <w:spacing w:before="74"/>
      </w:pPr>
      <w:r>
        <w:rPr>
          <w:b w:val="0"/>
        </w:rPr>
        <w:br w:type="column"/>
      </w:r>
      <w:r w:rsidR="006016F3" w:rsidRPr="000229A2">
        <w:rPr>
          <w:color w:val="BF5A14"/>
        </w:rPr>
        <w:t xml:space="preserve">Recent Publications </w:t>
      </w:r>
    </w:p>
    <w:p w:rsidR="00957B22" w:rsidRDefault="00957B22" w:rsidP="005973B9">
      <w:pPr>
        <w:pStyle w:val="ListParagraph"/>
        <w:numPr>
          <w:ilvl w:val="0"/>
          <w:numId w:val="3"/>
        </w:numPr>
        <w:tabs>
          <w:tab w:val="left" w:pos="384"/>
        </w:tabs>
        <w:spacing w:before="103" w:line="216" w:lineRule="exact"/>
        <w:ind w:right="138" w:hanging="283"/>
        <w:rPr>
          <w:sz w:val="18"/>
        </w:rPr>
      </w:pPr>
      <w:proofErr w:type="spellStart"/>
      <w:r>
        <w:rPr>
          <w:sz w:val="18"/>
        </w:rPr>
        <w:t>Schoonraad</w:t>
      </w:r>
      <w:proofErr w:type="spellEnd"/>
      <w:r>
        <w:rPr>
          <w:sz w:val="18"/>
        </w:rPr>
        <w:t xml:space="preserve"> GL, </w:t>
      </w:r>
      <w:proofErr w:type="spellStart"/>
      <w:r>
        <w:rPr>
          <w:sz w:val="18"/>
        </w:rPr>
        <w:t>Madito</w:t>
      </w:r>
      <w:proofErr w:type="spellEnd"/>
      <w:r>
        <w:rPr>
          <w:sz w:val="18"/>
        </w:rPr>
        <w:t xml:space="preserve"> MJ, Manyala N, Forbes P </w:t>
      </w:r>
      <w:r w:rsidR="006016F3">
        <w:rPr>
          <w:sz w:val="18"/>
        </w:rPr>
        <w:t xml:space="preserve">(2020) </w:t>
      </w:r>
      <w:r w:rsidRPr="00957B22">
        <w:rPr>
          <w:sz w:val="18"/>
        </w:rPr>
        <w:t xml:space="preserve">Synthesis and </w:t>
      </w:r>
      <w:proofErr w:type="spellStart"/>
      <w:r w:rsidRPr="00957B22">
        <w:rPr>
          <w:sz w:val="18"/>
        </w:rPr>
        <w:t>optimisation</w:t>
      </w:r>
      <w:proofErr w:type="spellEnd"/>
      <w:r w:rsidRPr="00957B22">
        <w:rPr>
          <w:sz w:val="18"/>
        </w:rPr>
        <w:t xml:space="preserve"> of a novel graphene wool material by atmospheric pressure chemical </w:t>
      </w:r>
      <w:proofErr w:type="spellStart"/>
      <w:r w:rsidRPr="00957B22">
        <w:rPr>
          <w:sz w:val="18"/>
        </w:rPr>
        <w:t>vapour</w:t>
      </w:r>
      <w:proofErr w:type="spellEnd"/>
      <w:r w:rsidRPr="00957B22">
        <w:rPr>
          <w:sz w:val="18"/>
        </w:rPr>
        <w:t xml:space="preserve"> deposition. </w:t>
      </w:r>
      <w:r w:rsidRPr="00957B22">
        <w:rPr>
          <w:i/>
          <w:iCs/>
          <w:sz w:val="18"/>
        </w:rPr>
        <w:t>Journal of Materials Science</w:t>
      </w:r>
      <w:r>
        <w:rPr>
          <w:sz w:val="18"/>
        </w:rPr>
        <w:t xml:space="preserve"> </w:t>
      </w:r>
      <w:r w:rsidRPr="00957B22">
        <w:rPr>
          <w:i/>
          <w:iCs/>
          <w:sz w:val="18"/>
        </w:rPr>
        <w:t>55</w:t>
      </w:r>
      <w:r>
        <w:rPr>
          <w:sz w:val="18"/>
        </w:rPr>
        <w:t>:</w:t>
      </w:r>
      <w:r w:rsidRPr="00957B22">
        <w:rPr>
          <w:sz w:val="18"/>
        </w:rPr>
        <w:t>545-564</w:t>
      </w:r>
      <w:r w:rsidR="00657104">
        <w:rPr>
          <w:sz w:val="18"/>
        </w:rPr>
        <w:t xml:space="preserve"> </w:t>
      </w:r>
    </w:p>
    <w:p w:rsidR="00957B22" w:rsidRDefault="00957B22" w:rsidP="005973B9">
      <w:pPr>
        <w:pStyle w:val="ListParagraph"/>
        <w:numPr>
          <w:ilvl w:val="0"/>
          <w:numId w:val="3"/>
        </w:numPr>
        <w:tabs>
          <w:tab w:val="left" w:pos="384"/>
        </w:tabs>
        <w:spacing w:before="103" w:line="216" w:lineRule="exact"/>
        <w:ind w:right="138" w:hanging="283"/>
        <w:rPr>
          <w:sz w:val="18"/>
        </w:rPr>
      </w:pPr>
      <w:proofErr w:type="spellStart"/>
      <w:r>
        <w:rPr>
          <w:sz w:val="18"/>
        </w:rPr>
        <w:t>Oyedotun</w:t>
      </w:r>
      <w:proofErr w:type="spellEnd"/>
      <w:r>
        <w:rPr>
          <w:sz w:val="18"/>
        </w:rPr>
        <w:t xml:space="preserve"> KO, </w:t>
      </w:r>
      <w:proofErr w:type="spellStart"/>
      <w:r>
        <w:rPr>
          <w:sz w:val="18"/>
        </w:rPr>
        <w:t>Masikhwa</w:t>
      </w:r>
      <w:proofErr w:type="spellEnd"/>
      <w:r>
        <w:rPr>
          <w:sz w:val="18"/>
        </w:rPr>
        <w:t xml:space="preserve"> TM, Lindberg S, </w:t>
      </w:r>
      <w:proofErr w:type="spellStart"/>
      <w:r>
        <w:rPr>
          <w:sz w:val="18"/>
        </w:rPr>
        <w:t>Matic</w:t>
      </w:r>
      <w:proofErr w:type="spellEnd"/>
      <w:r>
        <w:rPr>
          <w:sz w:val="18"/>
        </w:rPr>
        <w:t xml:space="preserve"> A, Johansson P,  Manyala N (2019) </w:t>
      </w:r>
      <w:r w:rsidRPr="00957B22">
        <w:rPr>
          <w:sz w:val="18"/>
        </w:rPr>
        <w:t>Comparison of ionic liquid electrolyte to aqueous electrolytes on carbon nanofibres supercapacitor electrode derived from oxygen-functionalized graphene. </w:t>
      </w:r>
      <w:r w:rsidRPr="00957B22">
        <w:rPr>
          <w:i/>
          <w:iCs/>
          <w:sz w:val="18"/>
        </w:rPr>
        <w:t>Chemical Engineering Journal</w:t>
      </w:r>
      <w:r w:rsidRPr="00957B22">
        <w:rPr>
          <w:sz w:val="18"/>
        </w:rPr>
        <w:t xml:space="preserve"> </w:t>
      </w:r>
      <w:r w:rsidR="000E4EC0">
        <w:rPr>
          <w:sz w:val="18"/>
        </w:rPr>
        <w:t xml:space="preserve">375: </w:t>
      </w:r>
      <w:r w:rsidRPr="00957B22">
        <w:rPr>
          <w:sz w:val="18"/>
        </w:rPr>
        <w:t>121906.</w:t>
      </w:r>
    </w:p>
    <w:p w:rsidR="005E1DDD" w:rsidRDefault="006016F3" w:rsidP="005973B9">
      <w:pPr>
        <w:pStyle w:val="ListParagraph"/>
        <w:numPr>
          <w:ilvl w:val="0"/>
          <w:numId w:val="3"/>
        </w:numPr>
        <w:tabs>
          <w:tab w:val="left" w:pos="384"/>
        </w:tabs>
        <w:spacing w:before="103" w:line="216" w:lineRule="exact"/>
        <w:ind w:right="138" w:hanging="283"/>
        <w:rPr>
          <w:sz w:val="18"/>
        </w:rPr>
      </w:pPr>
      <w:r>
        <w:rPr>
          <w:sz w:val="18"/>
        </w:rPr>
        <w:t>Sylla NF, Ndiaye NM, Ngom BD, Momodu D, Madito MJ, Mutuma BK, Manyala N (2019)</w:t>
      </w:r>
      <w:r w:rsidR="005E1DDD" w:rsidRPr="005E1DDD">
        <w:rPr>
          <w:sz w:val="18"/>
        </w:rPr>
        <w:t xml:space="preserve"> Effect of porosity enhancing agents on the electrochemical performance of high-energy ultracapacitor electrodes derived from peanut shell waste. </w:t>
      </w:r>
      <w:r w:rsidR="005E1DDD" w:rsidRPr="005E1DDD">
        <w:rPr>
          <w:i/>
          <w:iCs/>
          <w:sz w:val="18"/>
        </w:rPr>
        <w:t>Scientific reports</w:t>
      </w:r>
      <w:r w:rsidR="005E1DDD" w:rsidRPr="005E1DDD">
        <w:rPr>
          <w:sz w:val="18"/>
        </w:rPr>
        <w:t> </w:t>
      </w:r>
      <w:r w:rsidR="005E1DDD" w:rsidRPr="005E1DDD">
        <w:rPr>
          <w:i/>
          <w:iCs/>
          <w:sz w:val="18"/>
        </w:rPr>
        <w:t>9</w:t>
      </w:r>
      <w:r>
        <w:rPr>
          <w:sz w:val="18"/>
        </w:rPr>
        <w:t>:</w:t>
      </w:r>
      <w:r w:rsidR="000E4EC0">
        <w:rPr>
          <w:sz w:val="18"/>
        </w:rPr>
        <w:t xml:space="preserve"> 13673</w:t>
      </w:r>
    </w:p>
    <w:p w:rsidR="005973B9" w:rsidRDefault="00ED50A1" w:rsidP="005973B9">
      <w:pPr>
        <w:pStyle w:val="ListParagraph"/>
        <w:numPr>
          <w:ilvl w:val="0"/>
          <w:numId w:val="3"/>
        </w:numPr>
        <w:tabs>
          <w:tab w:val="left" w:pos="384"/>
        </w:tabs>
        <w:spacing w:before="103" w:line="216" w:lineRule="exact"/>
        <w:ind w:right="138" w:hanging="283"/>
        <w:rPr>
          <w:sz w:val="18"/>
        </w:rPr>
      </w:pPr>
      <w:r>
        <w:rPr>
          <w:sz w:val="18"/>
        </w:rPr>
        <w:t>Ndiaye NM, Sylla NF, Ngom BD</w:t>
      </w:r>
      <w:r w:rsidR="00957B22">
        <w:rPr>
          <w:sz w:val="18"/>
        </w:rPr>
        <w:t>, Barzegar F, Momodu D, Manyala, N (2019)</w:t>
      </w:r>
      <w:r w:rsidR="00D56B90" w:rsidRPr="00D56B90">
        <w:rPr>
          <w:sz w:val="18"/>
        </w:rPr>
        <w:t xml:space="preserve"> High-performance asymmetric supercapacitor based on vanadium dioxide/activated expanded graphite composite and carbon-vanadi</w:t>
      </w:r>
      <w:r w:rsidR="00957B22">
        <w:rPr>
          <w:sz w:val="18"/>
        </w:rPr>
        <w:t xml:space="preserve">um oxynitride </w:t>
      </w:r>
      <w:r w:rsidR="00D56B90" w:rsidRPr="00D56B90">
        <w:rPr>
          <w:sz w:val="18"/>
        </w:rPr>
        <w:t>nanostructures. </w:t>
      </w:r>
      <w:r w:rsidR="00D56B90" w:rsidRPr="00D56B90">
        <w:rPr>
          <w:i/>
          <w:iCs/>
          <w:sz w:val="18"/>
        </w:rPr>
        <w:t>Electrochimica Acta</w:t>
      </w:r>
      <w:r w:rsidR="00D56B90" w:rsidRPr="00D56B90">
        <w:rPr>
          <w:sz w:val="18"/>
        </w:rPr>
        <w:t> </w:t>
      </w:r>
      <w:r w:rsidR="00D56B90" w:rsidRPr="00D56B90">
        <w:rPr>
          <w:i/>
          <w:iCs/>
          <w:sz w:val="18"/>
        </w:rPr>
        <w:t>316</w:t>
      </w:r>
      <w:r>
        <w:rPr>
          <w:sz w:val="18"/>
        </w:rPr>
        <w:t>:19-32</w:t>
      </w:r>
      <w:r w:rsidR="005973B9" w:rsidRPr="005973B9">
        <w:rPr>
          <w:sz w:val="18"/>
        </w:rPr>
        <w:t>.</w:t>
      </w:r>
    </w:p>
    <w:p w:rsidR="005973B9" w:rsidRPr="005E1DDD" w:rsidRDefault="000F2F45" w:rsidP="005E1DDD">
      <w:pPr>
        <w:pStyle w:val="ListParagraph"/>
        <w:numPr>
          <w:ilvl w:val="0"/>
          <w:numId w:val="3"/>
        </w:numPr>
        <w:tabs>
          <w:tab w:val="left" w:pos="384"/>
        </w:tabs>
        <w:spacing w:line="216" w:lineRule="exact"/>
        <w:ind w:right="137" w:hanging="283"/>
        <w:rPr>
          <w:sz w:val="18"/>
        </w:rPr>
      </w:pPr>
      <w:r>
        <w:rPr>
          <w:sz w:val="18"/>
        </w:rPr>
        <w:t>Mirghni AA, Oyedotun KO, Mahmoud BA, Bello A, Ray SC, Manyala N (2019)</w:t>
      </w:r>
      <w:r w:rsidRPr="000F2F45">
        <w:rPr>
          <w:sz w:val="18"/>
        </w:rPr>
        <w:t xml:space="preserve"> Nickel-cobalt phosphate/graphene foam as enhanced electrode for hybrid supercapacitor. </w:t>
      </w:r>
      <w:r w:rsidRPr="000F2F45">
        <w:rPr>
          <w:i/>
          <w:iCs/>
          <w:sz w:val="18"/>
        </w:rPr>
        <w:t>Composites Part B: Engineering</w:t>
      </w:r>
      <w:r w:rsidRPr="000F2F45">
        <w:rPr>
          <w:sz w:val="18"/>
        </w:rPr>
        <w:t xml:space="preserve"> 106953</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ZA" w:eastAsia="en-Z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C26A3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57104" w:rsidRDefault="008756E6" w:rsidP="00404E5B">
      <w:pPr>
        <w:spacing w:before="92"/>
        <w:ind w:right="4234"/>
        <w:rPr>
          <w:noProof/>
          <w:lang w:val="en-ZA" w:eastAsia="en-ZA"/>
        </w:rPr>
      </w:pPr>
      <w:r>
        <w:rPr>
          <w:noProof/>
        </w:rPr>
        <w:t xml:space="preserve">              </w:t>
      </w:r>
    </w:p>
    <w:p w:rsidR="00657104" w:rsidRDefault="00657104" w:rsidP="00404E5B">
      <w:pPr>
        <w:spacing w:before="92"/>
        <w:ind w:right="4234"/>
        <w:rPr>
          <w:noProof/>
          <w:lang w:val="en-ZA" w:eastAsia="en-ZA"/>
        </w:rPr>
      </w:pPr>
      <w:r w:rsidRPr="00657104">
        <w:rPr>
          <w:noProof/>
          <w:lang w:val="en-ZA" w:eastAsia="en-ZA"/>
        </w:rPr>
        <w:drawing>
          <wp:anchor distT="0" distB="0" distL="114300" distR="114300" simplePos="0" relativeHeight="251658240" behindDoc="0" locked="0" layoutInCell="1" allowOverlap="1">
            <wp:simplePos x="0" y="0"/>
            <wp:positionH relativeFrom="column">
              <wp:posOffset>188595</wp:posOffset>
            </wp:positionH>
            <wp:positionV relativeFrom="paragraph">
              <wp:posOffset>108585</wp:posOffset>
            </wp:positionV>
            <wp:extent cx="689610" cy="613410"/>
            <wp:effectExtent l="0" t="0" r="0" b="0"/>
            <wp:wrapSquare wrapText="bothSides"/>
            <wp:docPr id="1" name="Picture 1" descr="C:\Users\u04376129\Pictures\Manyala, Ncholu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04376129\Pictures\Manyala, Ncholu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689610" cy="613410"/>
                    </a:xfrm>
                    <a:prstGeom prst="rect">
                      <a:avLst/>
                    </a:prstGeom>
                    <a:noFill/>
                    <a:ln>
                      <a:noFill/>
                    </a:ln>
                  </pic:spPr>
                </pic:pic>
              </a:graphicData>
            </a:graphic>
            <wp14:sizeRelH relativeFrom="margin">
              <wp14:pctWidth>0</wp14:pctWidth>
            </wp14:sizeRelH>
          </wp:anchor>
        </w:drawing>
      </w:r>
    </w:p>
    <w:p w:rsidR="00657104" w:rsidRDefault="00657104" w:rsidP="00404E5B">
      <w:pPr>
        <w:spacing w:before="92"/>
        <w:ind w:right="4234"/>
        <w:rPr>
          <w:noProof/>
          <w:lang w:val="en-ZA" w:eastAsia="en-ZA"/>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657104" w:rsidRDefault="00657104">
      <w:pPr>
        <w:spacing w:before="41" w:line="154" w:lineRule="exact"/>
        <w:ind w:left="213" w:right="231"/>
        <w:jc w:val="both"/>
        <w:rPr>
          <w:rFonts w:ascii="Arial"/>
          <w:sz w:val="14"/>
        </w:rPr>
      </w:pP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Pr="000229A2" w:rsidRDefault="00A9710C" w:rsidP="000229A2">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r w:rsidR="00292ED9">
        <w:rPr>
          <w:noProof/>
          <w:lang w:val="en-ZA" w:eastAsia="en-ZA"/>
        </w:rPr>
        <mc:AlternateContent>
          <mc:Choice Requires="wps">
            <w:drawing>
              <wp:anchor distT="0" distB="0" distL="0" distR="0" simplePos="0" relativeHeight="1072" behindDoc="0" locked="0" layoutInCell="1" allowOverlap="1" wp14:anchorId="7F3ECC01" wp14:editId="2725303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2E745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065C8C" w:rsidRDefault="00AE3E37" w:rsidP="00065C8C">
      <w:pPr>
        <w:spacing w:before="39"/>
        <w:ind w:left="100"/>
        <w:rPr>
          <w:rFonts w:ascii="Minion Pro"/>
          <w:b/>
          <w:sz w:val="20"/>
        </w:rPr>
        <w:sectPr w:rsidR="00AE3E37" w:rsidRPr="00065C8C">
          <w:type w:val="continuous"/>
          <w:pgSz w:w="11910" w:h="16840"/>
          <w:pgMar w:top="1740" w:right="600" w:bottom="840" w:left="620" w:header="720" w:footer="720" w:gutter="0"/>
          <w:cols w:space="720"/>
        </w:sectPr>
      </w:pPr>
      <w:bookmarkStart w:id="0" w:name="_GoBack"/>
      <w:bookmarkEnd w:id="0"/>
    </w:p>
    <w:p w:rsidR="00AE3E37" w:rsidRDefault="00AE3E37" w:rsidP="00D2473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19F" w:rsidRDefault="00EE119F">
      <w:r>
        <w:separator/>
      </w:r>
    </w:p>
  </w:endnote>
  <w:endnote w:type="continuationSeparator" w:id="0">
    <w:p w:rsidR="00EE119F" w:rsidRDefault="00EE1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19F" w:rsidRDefault="00EE119F">
      <w:r>
        <w:separator/>
      </w:r>
    </w:p>
  </w:footnote>
  <w:footnote w:type="continuationSeparator" w:id="0">
    <w:p w:rsidR="00EE119F" w:rsidRDefault="00EE1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29A2"/>
    <w:rsid w:val="00065C8C"/>
    <w:rsid w:val="00084D91"/>
    <w:rsid w:val="000E2911"/>
    <w:rsid w:val="000E4EC0"/>
    <w:rsid w:val="000F2F45"/>
    <w:rsid w:val="000F6854"/>
    <w:rsid w:val="001263DF"/>
    <w:rsid w:val="00292ED9"/>
    <w:rsid w:val="003C7395"/>
    <w:rsid w:val="00404E5B"/>
    <w:rsid w:val="00414F7B"/>
    <w:rsid w:val="004355DC"/>
    <w:rsid w:val="004749B4"/>
    <w:rsid w:val="00494130"/>
    <w:rsid w:val="004D46BC"/>
    <w:rsid w:val="004F3523"/>
    <w:rsid w:val="005973B9"/>
    <w:rsid w:val="005B3A56"/>
    <w:rsid w:val="005E1DDD"/>
    <w:rsid w:val="006016F3"/>
    <w:rsid w:val="006060CE"/>
    <w:rsid w:val="0063497F"/>
    <w:rsid w:val="00657104"/>
    <w:rsid w:val="006917A5"/>
    <w:rsid w:val="006E3C83"/>
    <w:rsid w:val="00720F79"/>
    <w:rsid w:val="00873DF0"/>
    <w:rsid w:val="008756E6"/>
    <w:rsid w:val="008A7409"/>
    <w:rsid w:val="00957B22"/>
    <w:rsid w:val="009B2D44"/>
    <w:rsid w:val="009D17FB"/>
    <w:rsid w:val="009D3F2F"/>
    <w:rsid w:val="009E45D8"/>
    <w:rsid w:val="00A045E9"/>
    <w:rsid w:val="00A07E82"/>
    <w:rsid w:val="00A9710C"/>
    <w:rsid w:val="00AE3E37"/>
    <w:rsid w:val="00B21A57"/>
    <w:rsid w:val="00B2279A"/>
    <w:rsid w:val="00B43F35"/>
    <w:rsid w:val="00BE7B03"/>
    <w:rsid w:val="00C33602"/>
    <w:rsid w:val="00C55085"/>
    <w:rsid w:val="00CD6F55"/>
    <w:rsid w:val="00CF722C"/>
    <w:rsid w:val="00D24738"/>
    <w:rsid w:val="00D334FC"/>
    <w:rsid w:val="00D528C6"/>
    <w:rsid w:val="00D56B90"/>
    <w:rsid w:val="00DE3104"/>
    <w:rsid w:val="00ED50A1"/>
    <w:rsid w:val="00EE119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73B2E"/>
  <w15:docId w15:val="{56582038-A735-4FDE-B60C-C580D9595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6DF0D-0A6C-40D3-B097-24EF64F97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Prof. NI Manyala</cp:lastModifiedBy>
  <cp:revision>5</cp:revision>
  <dcterms:created xsi:type="dcterms:W3CDTF">2019-11-13T13:54:00Z</dcterms:created>
  <dcterms:modified xsi:type="dcterms:W3CDTF">2019-11-13T14:15:00Z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