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484" w:rsidRPr="001E4484" w:rsidRDefault="001E4484" w:rsidP="001E4484">
      <w:pPr>
        <w:autoSpaceDE w:val="0"/>
        <w:autoSpaceDN w:val="0"/>
        <w:adjustRightInd w:val="0"/>
        <w:spacing w:after="0" w:line="240" w:lineRule="auto"/>
        <w:rPr>
          <w:rFonts w:asciiTheme="majorBidi" w:hAnsiTheme="majorBidi" w:cstheme="majorBidi"/>
          <w:b/>
          <w:bCs/>
          <w:color w:val="131413"/>
          <w:sz w:val="28"/>
          <w:szCs w:val="28"/>
        </w:rPr>
      </w:pPr>
      <w:proofErr w:type="spellStart"/>
      <w:r w:rsidRPr="001E4484">
        <w:rPr>
          <w:rFonts w:asciiTheme="majorBidi" w:hAnsiTheme="majorBidi" w:cstheme="majorBidi"/>
          <w:b/>
          <w:bCs/>
          <w:color w:val="131413"/>
          <w:sz w:val="28"/>
          <w:szCs w:val="28"/>
        </w:rPr>
        <w:t>Monoallelic</w:t>
      </w:r>
      <w:proofErr w:type="spellEnd"/>
      <w:r w:rsidRPr="001E4484">
        <w:rPr>
          <w:rFonts w:asciiTheme="majorBidi" w:hAnsiTheme="majorBidi" w:cstheme="majorBidi"/>
          <w:b/>
          <w:bCs/>
          <w:color w:val="131413"/>
          <w:sz w:val="28"/>
          <w:szCs w:val="28"/>
        </w:rPr>
        <w:t xml:space="preserve"> characteristic-bearing heterozygous L1053X in BRCA2 gene among Sudanese women with breast cancer   </w:t>
      </w:r>
    </w:p>
    <w:p w:rsidR="001E4484" w:rsidRDefault="001E4484" w:rsidP="001E4484">
      <w:pPr>
        <w:autoSpaceDE w:val="0"/>
        <w:autoSpaceDN w:val="0"/>
        <w:adjustRightInd w:val="0"/>
        <w:spacing w:after="0" w:line="240" w:lineRule="auto"/>
        <w:jc w:val="both"/>
        <w:rPr>
          <w:rFonts w:ascii="SdhfqhAdvTTb5929f4c" w:hAnsi="SdhfqhAdvTTb5929f4c" w:cs="SdhfqhAdvTTb5929f4c"/>
          <w:color w:val="131413"/>
        </w:rPr>
      </w:pPr>
    </w:p>
    <w:p w:rsidR="001E4484" w:rsidRPr="001E4484" w:rsidRDefault="001E4484" w:rsidP="001E4484">
      <w:pPr>
        <w:autoSpaceDE w:val="0"/>
        <w:autoSpaceDN w:val="0"/>
        <w:adjustRightInd w:val="0"/>
        <w:spacing w:after="0" w:line="240" w:lineRule="auto"/>
        <w:jc w:val="both"/>
        <w:rPr>
          <w:rFonts w:asciiTheme="majorBidi" w:hAnsiTheme="majorBidi" w:cstheme="majorBidi"/>
          <w:color w:val="131413"/>
          <w:sz w:val="20"/>
          <w:szCs w:val="20"/>
        </w:rPr>
      </w:pPr>
      <w:r w:rsidRPr="001E4484">
        <w:rPr>
          <w:rFonts w:asciiTheme="majorBidi" w:hAnsiTheme="majorBidi" w:cstheme="majorBidi"/>
          <w:color w:val="131413"/>
          <w:sz w:val="20"/>
          <w:szCs w:val="20"/>
        </w:rPr>
        <w:t xml:space="preserve">Mohamed Ahmed </w:t>
      </w:r>
      <w:proofErr w:type="spellStart"/>
      <w:r w:rsidRPr="001E4484">
        <w:rPr>
          <w:rFonts w:asciiTheme="majorBidi" w:hAnsiTheme="majorBidi" w:cstheme="majorBidi"/>
          <w:color w:val="131413"/>
          <w:sz w:val="20"/>
          <w:szCs w:val="20"/>
        </w:rPr>
        <w:t>Salih</w:t>
      </w:r>
      <w:proofErr w:type="spellEnd"/>
      <w:r w:rsidRPr="001E4484">
        <w:rPr>
          <w:rFonts w:asciiTheme="majorBidi" w:hAnsiTheme="majorBidi" w:cstheme="majorBidi"/>
          <w:color w:val="131413"/>
          <w:sz w:val="20"/>
          <w:szCs w:val="20"/>
        </w:rPr>
        <w:t xml:space="preserve"> Hassan</w:t>
      </w:r>
    </w:p>
    <w:p w:rsidR="001E4484" w:rsidRPr="001E4484" w:rsidRDefault="001E4484" w:rsidP="001E4484">
      <w:pPr>
        <w:autoSpaceDE w:val="0"/>
        <w:autoSpaceDN w:val="0"/>
        <w:adjustRightInd w:val="0"/>
        <w:spacing w:after="0" w:line="240" w:lineRule="auto"/>
        <w:jc w:val="both"/>
        <w:rPr>
          <w:rFonts w:asciiTheme="majorBidi" w:hAnsiTheme="majorBidi" w:cstheme="majorBidi"/>
          <w:color w:val="131413"/>
          <w:sz w:val="20"/>
          <w:szCs w:val="20"/>
        </w:rPr>
      </w:pPr>
    </w:p>
    <w:p w:rsidR="001E4484" w:rsidRPr="001E4484" w:rsidRDefault="001E4484" w:rsidP="001E4484">
      <w:pPr>
        <w:autoSpaceDE w:val="0"/>
        <w:autoSpaceDN w:val="0"/>
        <w:adjustRightInd w:val="0"/>
        <w:spacing w:after="0" w:line="240" w:lineRule="auto"/>
        <w:jc w:val="both"/>
        <w:rPr>
          <w:rFonts w:asciiTheme="majorBidi" w:hAnsiTheme="majorBidi" w:cstheme="majorBidi"/>
          <w:color w:val="131413"/>
          <w:sz w:val="20"/>
          <w:szCs w:val="20"/>
        </w:rPr>
      </w:pPr>
      <w:r w:rsidRPr="001E4484">
        <w:rPr>
          <w:rFonts w:asciiTheme="majorBidi" w:hAnsiTheme="majorBidi" w:cstheme="majorBidi"/>
          <w:color w:val="131413"/>
          <w:sz w:val="20"/>
          <w:szCs w:val="20"/>
        </w:rPr>
        <w:t>1-Applied Bioinformatics Center, Africa city of Technology -SUDAN</w:t>
      </w:r>
    </w:p>
    <w:p w:rsidR="001E4484" w:rsidRPr="001E4484" w:rsidRDefault="001E4484" w:rsidP="001E4484">
      <w:pPr>
        <w:autoSpaceDE w:val="0"/>
        <w:autoSpaceDN w:val="0"/>
        <w:adjustRightInd w:val="0"/>
        <w:spacing w:after="0" w:line="240" w:lineRule="auto"/>
        <w:jc w:val="both"/>
        <w:rPr>
          <w:rFonts w:asciiTheme="majorBidi" w:hAnsiTheme="majorBidi" w:cstheme="majorBidi"/>
          <w:color w:val="131413"/>
          <w:sz w:val="20"/>
          <w:szCs w:val="20"/>
        </w:rPr>
      </w:pPr>
    </w:p>
    <w:p w:rsidR="001E4484" w:rsidRPr="001E4484" w:rsidRDefault="001E4484" w:rsidP="001E4484">
      <w:pPr>
        <w:autoSpaceDE w:val="0"/>
        <w:autoSpaceDN w:val="0"/>
        <w:adjustRightInd w:val="0"/>
        <w:spacing w:after="0" w:line="240" w:lineRule="auto"/>
        <w:jc w:val="both"/>
        <w:rPr>
          <w:rFonts w:asciiTheme="majorBidi" w:hAnsiTheme="majorBidi" w:cstheme="majorBidi"/>
          <w:color w:val="131413"/>
          <w:sz w:val="20"/>
          <w:szCs w:val="20"/>
        </w:rPr>
      </w:pPr>
    </w:p>
    <w:p w:rsidR="001E4484" w:rsidRPr="001E4484" w:rsidRDefault="001E4484" w:rsidP="001E4484">
      <w:pPr>
        <w:autoSpaceDE w:val="0"/>
        <w:autoSpaceDN w:val="0"/>
        <w:adjustRightInd w:val="0"/>
        <w:spacing w:after="0" w:line="240" w:lineRule="auto"/>
        <w:jc w:val="both"/>
        <w:rPr>
          <w:rFonts w:asciiTheme="majorBidi" w:hAnsiTheme="majorBidi" w:cstheme="majorBidi"/>
          <w:b/>
          <w:bCs/>
          <w:color w:val="131413"/>
          <w:sz w:val="24"/>
          <w:szCs w:val="24"/>
        </w:rPr>
      </w:pPr>
      <w:r w:rsidRPr="001E4484">
        <w:rPr>
          <w:rFonts w:asciiTheme="majorBidi" w:hAnsiTheme="majorBidi" w:cstheme="majorBidi"/>
          <w:b/>
          <w:bCs/>
          <w:color w:val="131413"/>
          <w:sz w:val="24"/>
          <w:szCs w:val="24"/>
        </w:rPr>
        <w:t>Abstract</w:t>
      </w:r>
    </w:p>
    <w:p w:rsidR="001E4484" w:rsidRPr="001E4484" w:rsidRDefault="001E4484" w:rsidP="001E4484">
      <w:pPr>
        <w:autoSpaceDE w:val="0"/>
        <w:autoSpaceDN w:val="0"/>
        <w:adjustRightInd w:val="0"/>
        <w:spacing w:after="0" w:line="240" w:lineRule="auto"/>
        <w:jc w:val="both"/>
        <w:rPr>
          <w:rFonts w:asciiTheme="majorBidi" w:hAnsiTheme="majorBidi" w:cstheme="majorBidi"/>
          <w:color w:val="131413"/>
          <w:sz w:val="24"/>
          <w:szCs w:val="24"/>
        </w:rPr>
      </w:pPr>
      <w:r w:rsidRPr="001E4484">
        <w:rPr>
          <w:rFonts w:asciiTheme="majorBidi" w:hAnsiTheme="majorBidi" w:cstheme="majorBidi"/>
          <w:b/>
          <w:bCs/>
          <w:color w:val="131413"/>
          <w:sz w:val="24"/>
          <w:szCs w:val="24"/>
        </w:rPr>
        <w:t>Background</w:t>
      </w:r>
      <w:r w:rsidRPr="001E4484">
        <w:rPr>
          <w:rFonts w:asciiTheme="majorBidi" w:hAnsiTheme="majorBidi" w:cstheme="majorBidi"/>
          <w:color w:val="131413"/>
          <w:sz w:val="24"/>
          <w:szCs w:val="24"/>
        </w:rPr>
        <w:t xml:space="preserve">: Breast cancer (BC) is the most common type of cancer in women. Among many risk factors of </w:t>
      </w:r>
      <w:proofErr w:type="spellStart"/>
      <w:r w:rsidRPr="001E4484">
        <w:rPr>
          <w:rFonts w:asciiTheme="majorBidi" w:hAnsiTheme="majorBidi" w:cstheme="majorBidi"/>
          <w:color w:val="131413"/>
          <w:sz w:val="24"/>
          <w:szCs w:val="24"/>
        </w:rPr>
        <w:t>BC</w:t>
      </w:r>
      <w:proofErr w:type="gramStart"/>
      <w:r w:rsidRPr="001E4484">
        <w:rPr>
          <w:rFonts w:asciiTheme="majorBidi" w:hAnsiTheme="majorBidi" w:cstheme="majorBidi"/>
          <w:color w:val="131413"/>
          <w:sz w:val="24"/>
          <w:szCs w:val="24"/>
        </w:rPr>
        <w:t>,mutations</w:t>
      </w:r>
      <w:proofErr w:type="spellEnd"/>
      <w:proofErr w:type="gramEnd"/>
      <w:r w:rsidRPr="001E4484">
        <w:rPr>
          <w:rFonts w:asciiTheme="majorBidi" w:hAnsiTheme="majorBidi" w:cstheme="majorBidi"/>
          <w:color w:val="131413"/>
          <w:sz w:val="24"/>
          <w:szCs w:val="24"/>
        </w:rPr>
        <w:t xml:space="preserve"> in BRCA2 gene were found to be the primary cause in 5</w:t>
      </w:r>
      <w:r w:rsidRPr="001E4484">
        <w:rPr>
          <w:rFonts w:asciiTheme="majorBidi" w:eastAsia="SphwkfAdvTTb5929f4c+20" w:hAnsiTheme="majorBidi" w:cstheme="majorBidi"/>
          <w:color w:val="131413"/>
          <w:sz w:val="24"/>
          <w:szCs w:val="24"/>
        </w:rPr>
        <w:t>–</w:t>
      </w:r>
      <w:r w:rsidRPr="001E4484">
        <w:rPr>
          <w:rFonts w:asciiTheme="majorBidi" w:hAnsiTheme="majorBidi" w:cstheme="majorBidi"/>
          <w:color w:val="131413"/>
          <w:sz w:val="24"/>
          <w:szCs w:val="24"/>
        </w:rPr>
        <w:t>10% of cases. The majority of deleterious mutations are frame</w:t>
      </w:r>
      <w:r w:rsidR="00461C72">
        <w:rPr>
          <w:rFonts w:asciiTheme="majorBidi" w:hAnsiTheme="majorBidi" w:cstheme="majorBidi"/>
          <w:color w:val="131413"/>
          <w:sz w:val="24"/>
          <w:szCs w:val="24"/>
        </w:rPr>
        <w:t xml:space="preserve"> </w:t>
      </w:r>
      <w:r w:rsidRPr="001E4484">
        <w:rPr>
          <w:rFonts w:asciiTheme="majorBidi" w:hAnsiTheme="majorBidi" w:cstheme="majorBidi"/>
          <w:color w:val="131413"/>
          <w:sz w:val="24"/>
          <w:szCs w:val="24"/>
        </w:rPr>
        <w:t>shift or nonsense mutations. Most of the reported BRCA2 mutations are protein truncating</w:t>
      </w:r>
      <w:r w:rsidR="00461C72">
        <w:rPr>
          <w:rFonts w:asciiTheme="majorBidi" w:hAnsiTheme="majorBidi" w:cstheme="majorBidi"/>
          <w:color w:val="131413"/>
          <w:sz w:val="24"/>
          <w:szCs w:val="24"/>
        </w:rPr>
        <w:t xml:space="preserve"> </w:t>
      </w:r>
      <w:r w:rsidRPr="001E4484">
        <w:rPr>
          <w:rFonts w:asciiTheme="majorBidi" w:hAnsiTheme="majorBidi" w:cstheme="majorBidi"/>
          <w:color w:val="131413"/>
          <w:sz w:val="24"/>
          <w:szCs w:val="24"/>
        </w:rPr>
        <w:t>mutations.</w:t>
      </w:r>
    </w:p>
    <w:p w:rsidR="001E4484" w:rsidRPr="001E4484" w:rsidRDefault="001E4484" w:rsidP="001E4484">
      <w:pPr>
        <w:autoSpaceDE w:val="0"/>
        <w:autoSpaceDN w:val="0"/>
        <w:adjustRightInd w:val="0"/>
        <w:spacing w:after="0" w:line="240" w:lineRule="auto"/>
        <w:jc w:val="both"/>
        <w:rPr>
          <w:rFonts w:asciiTheme="majorBidi" w:hAnsiTheme="majorBidi" w:cstheme="majorBidi"/>
          <w:color w:val="131413"/>
          <w:sz w:val="24"/>
          <w:szCs w:val="24"/>
        </w:rPr>
      </w:pPr>
      <w:r w:rsidRPr="001E4484">
        <w:rPr>
          <w:rFonts w:asciiTheme="majorBidi" w:hAnsiTheme="majorBidi" w:cstheme="majorBidi"/>
          <w:b/>
          <w:bCs/>
          <w:color w:val="131413"/>
          <w:sz w:val="24"/>
          <w:szCs w:val="24"/>
        </w:rPr>
        <w:t>Methods</w:t>
      </w:r>
      <w:r w:rsidRPr="001E4484">
        <w:rPr>
          <w:rFonts w:asciiTheme="majorBidi" w:hAnsiTheme="majorBidi" w:cstheme="majorBidi"/>
          <w:color w:val="131413"/>
          <w:sz w:val="24"/>
          <w:szCs w:val="24"/>
        </w:rPr>
        <w:t xml:space="preserve">: The study aimed to describe the pattern of mutations including single nucleotide polymorphisms (SNPs) and variants of the BRCA2 (exon11) gene among Sudanese women patients diagnosed with BC. In this study a specific region of BRCA2 </w:t>
      </w:r>
      <w:proofErr w:type="spellStart"/>
      <w:r w:rsidRPr="001E4484">
        <w:rPr>
          <w:rFonts w:asciiTheme="majorBidi" w:hAnsiTheme="majorBidi" w:cstheme="majorBidi"/>
          <w:color w:val="131413"/>
          <w:sz w:val="24"/>
          <w:szCs w:val="24"/>
        </w:rPr>
        <w:t>exon</w:t>
      </w:r>
      <w:proofErr w:type="spellEnd"/>
      <w:r w:rsidRPr="001E4484">
        <w:rPr>
          <w:rFonts w:asciiTheme="majorBidi" w:hAnsiTheme="majorBidi" w:cstheme="majorBidi"/>
          <w:color w:val="131413"/>
          <w:sz w:val="24"/>
          <w:szCs w:val="24"/>
        </w:rPr>
        <w:t xml:space="preserve"> 11 was targeted using PCR and DNA sequencing.</w:t>
      </w:r>
    </w:p>
    <w:p w:rsidR="001E4484" w:rsidRPr="001E4484" w:rsidRDefault="001E4484" w:rsidP="001E4484">
      <w:pPr>
        <w:autoSpaceDE w:val="0"/>
        <w:autoSpaceDN w:val="0"/>
        <w:adjustRightInd w:val="0"/>
        <w:spacing w:after="0" w:line="240" w:lineRule="auto"/>
        <w:jc w:val="both"/>
        <w:rPr>
          <w:rFonts w:asciiTheme="majorBidi" w:hAnsiTheme="majorBidi" w:cstheme="majorBidi"/>
          <w:color w:val="131413"/>
          <w:sz w:val="24"/>
          <w:szCs w:val="24"/>
        </w:rPr>
      </w:pPr>
      <w:r w:rsidRPr="001E4484">
        <w:rPr>
          <w:rFonts w:asciiTheme="majorBidi" w:hAnsiTheme="majorBidi" w:cstheme="majorBidi"/>
          <w:b/>
          <w:bCs/>
          <w:color w:val="131413"/>
          <w:sz w:val="24"/>
          <w:szCs w:val="24"/>
        </w:rPr>
        <w:t>Results:</w:t>
      </w:r>
      <w:r w:rsidRPr="001E4484">
        <w:rPr>
          <w:rFonts w:asciiTheme="majorBidi" w:hAnsiTheme="majorBidi" w:cstheme="majorBidi"/>
          <w:color w:val="131413"/>
          <w:sz w:val="24"/>
          <w:szCs w:val="24"/>
        </w:rPr>
        <w:t xml:space="preserve"> Early onset cases 25/45 (55.6%) were premenopausal women with a mean age of 36.6 years. Multi</w:t>
      </w:r>
      <w:r w:rsidR="00461C72">
        <w:rPr>
          <w:rFonts w:asciiTheme="majorBidi" w:hAnsiTheme="majorBidi" w:cstheme="majorBidi"/>
          <w:color w:val="131413"/>
          <w:sz w:val="24"/>
          <w:szCs w:val="24"/>
        </w:rPr>
        <w:t xml:space="preserve"> </w:t>
      </w:r>
      <w:r w:rsidRPr="001E4484">
        <w:rPr>
          <w:rFonts w:asciiTheme="majorBidi" w:hAnsiTheme="majorBidi" w:cstheme="majorBidi"/>
          <w:color w:val="131413"/>
          <w:sz w:val="24"/>
          <w:szCs w:val="24"/>
        </w:rPr>
        <w:t xml:space="preserve">parity was more frequent within the study amounting to 30 cases (66.6%), with a mean parity of 4.1. </w:t>
      </w:r>
      <w:proofErr w:type="spellStart"/>
      <w:r w:rsidRPr="001E4484">
        <w:rPr>
          <w:rFonts w:asciiTheme="majorBidi" w:hAnsiTheme="majorBidi" w:cstheme="majorBidi"/>
          <w:color w:val="131413"/>
          <w:sz w:val="24"/>
          <w:szCs w:val="24"/>
        </w:rPr>
        <w:t>Ductal</w:t>
      </w:r>
      <w:proofErr w:type="spellEnd"/>
      <w:r w:rsidRPr="001E4484">
        <w:rPr>
          <w:rFonts w:asciiTheme="majorBidi" w:hAnsiTheme="majorBidi" w:cstheme="majorBidi"/>
          <w:color w:val="131413"/>
          <w:sz w:val="24"/>
          <w:szCs w:val="24"/>
        </w:rPr>
        <w:t xml:space="preserve"> type tumor was the predominant type detected in 22 cases (48.8%) among the reported </w:t>
      </w:r>
      <w:proofErr w:type="spellStart"/>
      <w:r w:rsidRPr="001E4484">
        <w:rPr>
          <w:rFonts w:asciiTheme="majorBidi" w:hAnsiTheme="majorBidi" w:cstheme="majorBidi"/>
          <w:color w:val="131413"/>
          <w:sz w:val="24"/>
          <w:szCs w:val="24"/>
        </w:rPr>
        <w:t>histotypes</w:t>
      </w:r>
      <w:proofErr w:type="spellEnd"/>
      <w:r w:rsidRPr="001E4484">
        <w:rPr>
          <w:rFonts w:asciiTheme="majorBidi" w:hAnsiTheme="majorBidi" w:cstheme="majorBidi"/>
          <w:color w:val="131413"/>
          <w:sz w:val="24"/>
          <w:szCs w:val="24"/>
        </w:rPr>
        <w:t xml:space="preserve">. A heterozygous </w:t>
      </w:r>
      <w:proofErr w:type="spellStart"/>
      <w:r w:rsidRPr="001E4484">
        <w:rPr>
          <w:rFonts w:asciiTheme="majorBidi" w:hAnsiTheme="majorBidi" w:cstheme="majorBidi"/>
          <w:color w:val="131413"/>
          <w:sz w:val="24"/>
          <w:szCs w:val="24"/>
        </w:rPr>
        <w:t>monoallelic</w:t>
      </w:r>
      <w:proofErr w:type="spellEnd"/>
      <w:r w:rsidRPr="001E4484">
        <w:rPr>
          <w:rFonts w:asciiTheme="majorBidi" w:hAnsiTheme="majorBidi" w:cstheme="majorBidi"/>
          <w:color w:val="131413"/>
          <w:sz w:val="24"/>
          <w:szCs w:val="24"/>
        </w:rPr>
        <w:t xml:space="preserve"> nonsense mutation at nucleotide 3385 was found in four patients out of 9, where TTA </w:t>
      </w:r>
      <w:proofErr w:type="spellStart"/>
      <w:r w:rsidRPr="001E4484">
        <w:rPr>
          <w:rFonts w:asciiTheme="majorBidi" w:hAnsiTheme="majorBidi" w:cstheme="majorBidi"/>
          <w:color w:val="131413"/>
          <w:sz w:val="24"/>
          <w:szCs w:val="24"/>
        </w:rPr>
        <w:t>codon</w:t>
      </w:r>
      <w:proofErr w:type="spellEnd"/>
      <w:r w:rsidRPr="001E4484">
        <w:rPr>
          <w:rFonts w:asciiTheme="majorBidi" w:hAnsiTheme="majorBidi" w:cstheme="majorBidi"/>
          <w:color w:val="131413"/>
          <w:sz w:val="24"/>
          <w:szCs w:val="24"/>
        </w:rPr>
        <w:t xml:space="preserve"> was converted into the stop </w:t>
      </w:r>
      <w:proofErr w:type="spellStart"/>
      <w:r w:rsidRPr="001E4484">
        <w:rPr>
          <w:rFonts w:asciiTheme="majorBidi" w:hAnsiTheme="majorBidi" w:cstheme="majorBidi"/>
          <w:color w:val="131413"/>
          <w:sz w:val="24"/>
          <w:szCs w:val="24"/>
        </w:rPr>
        <w:t>codon</w:t>
      </w:r>
      <w:proofErr w:type="spellEnd"/>
      <w:r w:rsidRPr="001E4484">
        <w:rPr>
          <w:rFonts w:asciiTheme="majorBidi" w:hAnsiTheme="majorBidi" w:cstheme="majorBidi"/>
          <w:color w:val="131413"/>
          <w:sz w:val="24"/>
          <w:szCs w:val="24"/>
        </w:rPr>
        <w:t xml:space="preserve"> TGA.</w:t>
      </w:r>
    </w:p>
    <w:p w:rsidR="001E4484" w:rsidRPr="001E4484" w:rsidRDefault="001E4484" w:rsidP="001E4484">
      <w:pPr>
        <w:autoSpaceDE w:val="0"/>
        <w:autoSpaceDN w:val="0"/>
        <w:adjustRightInd w:val="0"/>
        <w:spacing w:after="0" w:line="240" w:lineRule="auto"/>
        <w:jc w:val="both"/>
        <w:rPr>
          <w:rFonts w:asciiTheme="majorBidi" w:hAnsiTheme="majorBidi" w:cstheme="majorBidi"/>
          <w:color w:val="131413"/>
          <w:sz w:val="24"/>
          <w:szCs w:val="24"/>
        </w:rPr>
      </w:pPr>
      <w:r w:rsidRPr="001E4484">
        <w:rPr>
          <w:rFonts w:asciiTheme="majorBidi" w:hAnsiTheme="majorBidi" w:cstheme="majorBidi"/>
          <w:b/>
          <w:bCs/>
          <w:color w:val="131413"/>
          <w:sz w:val="24"/>
          <w:szCs w:val="24"/>
        </w:rPr>
        <w:t>Conclusion</w:t>
      </w:r>
      <w:r w:rsidRPr="001E4484">
        <w:rPr>
          <w:rFonts w:asciiTheme="majorBidi" w:hAnsiTheme="majorBidi" w:cstheme="majorBidi"/>
          <w:color w:val="131413"/>
          <w:sz w:val="24"/>
          <w:szCs w:val="24"/>
        </w:rPr>
        <w:t xml:space="preserve">: This study detected a </w:t>
      </w:r>
      <w:proofErr w:type="spellStart"/>
      <w:r w:rsidRPr="001E4484">
        <w:rPr>
          <w:rFonts w:asciiTheme="majorBidi" w:hAnsiTheme="majorBidi" w:cstheme="majorBidi"/>
          <w:color w:val="131413"/>
          <w:sz w:val="24"/>
          <w:szCs w:val="24"/>
        </w:rPr>
        <w:t>monoallelic</w:t>
      </w:r>
      <w:proofErr w:type="spellEnd"/>
      <w:r w:rsidRPr="001E4484">
        <w:rPr>
          <w:rFonts w:asciiTheme="majorBidi" w:hAnsiTheme="majorBidi" w:cstheme="majorBidi"/>
          <w:color w:val="131413"/>
          <w:sz w:val="24"/>
          <w:szCs w:val="24"/>
        </w:rPr>
        <w:t xml:space="preserve"> nonsense mutation in four Sudanese female patients diagnosed with early onset BC from different families. Further work is needed to demonstrate its usefulness in screening of BC.</w:t>
      </w:r>
    </w:p>
    <w:p w:rsidR="001E4484" w:rsidRPr="001E4484" w:rsidRDefault="001E4484" w:rsidP="001E4484">
      <w:pPr>
        <w:autoSpaceDE w:val="0"/>
        <w:autoSpaceDN w:val="0"/>
        <w:adjustRightInd w:val="0"/>
        <w:spacing w:after="0" w:line="240" w:lineRule="auto"/>
        <w:jc w:val="both"/>
        <w:rPr>
          <w:rFonts w:asciiTheme="majorBidi" w:hAnsiTheme="majorBidi" w:cstheme="majorBidi"/>
          <w:color w:val="131413"/>
          <w:sz w:val="24"/>
          <w:szCs w:val="24"/>
        </w:rPr>
      </w:pPr>
    </w:p>
    <w:p w:rsidR="00B64153" w:rsidRPr="001E4484" w:rsidRDefault="001E4484" w:rsidP="001E4484">
      <w:pPr>
        <w:jc w:val="both"/>
        <w:rPr>
          <w:rFonts w:asciiTheme="majorBidi" w:hAnsiTheme="majorBidi" w:cstheme="majorBidi"/>
          <w:sz w:val="24"/>
          <w:szCs w:val="24"/>
        </w:rPr>
      </w:pPr>
      <w:r w:rsidRPr="001E4484">
        <w:rPr>
          <w:rFonts w:asciiTheme="majorBidi" w:hAnsiTheme="majorBidi" w:cstheme="majorBidi"/>
          <w:b/>
          <w:bCs/>
          <w:color w:val="131413"/>
          <w:sz w:val="24"/>
          <w:szCs w:val="24"/>
        </w:rPr>
        <w:t>Keywords</w:t>
      </w:r>
      <w:r w:rsidRPr="001E4484">
        <w:rPr>
          <w:rFonts w:asciiTheme="majorBidi" w:hAnsiTheme="majorBidi" w:cstheme="majorBidi"/>
          <w:color w:val="131413"/>
          <w:sz w:val="24"/>
          <w:szCs w:val="24"/>
        </w:rPr>
        <w:t xml:space="preserve">: BRCA2, </w:t>
      </w:r>
      <w:proofErr w:type="spellStart"/>
      <w:r w:rsidRPr="001E4484">
        <w:rPr>
          <w:rFonts w:asciiTheme="majorBidi" w:hAnsiTheme="majorBidi" w:cstheme="majorBidi"/>
          <w:color w:val="131413"/>
          <w:sz w:val="24"/>
          <w:szCs w:val="24"/>
        </w:rPr>
        <w:t>Monoallelic</w:t>
      </w:r>
      <w:proofErr w:type="spellEnd"/>
      <w:r w:rsidRPr="001E4484">
        <w:rPr>
          <w:rFonts w:asciiTheme="majorBidi" w:hAnsiTheme="majorBidi" w:cstheme="majorBidi"/>
          <w:color w:val="131413"/>
          <w:sz w:val="24"/>
          <w:szCs w:val="24"/>
        </w:rPr>
        <w:t xml:space="preserve">, Heterozygous, Stop </w:t>
      </w:r>
      <w:proofErr w:type="spellStart"/>
      <w:r w:rsidRPr="001E4484">
        <w:rPr>
          <w:rFonts w:asciiTheme="majorBidi" w:hAnsiTheme="majorBidi" w:cstheme="majorBidi"/>
          <w:color w:val="131413"/>
          <w:sz w:val="24"/>
          <w:szCs w:val="24"/>
        </w:rPr>
        <w:t>Codon</w:t>
      </w:r>
      <w:proofErr w:type="spellEnd"/>
      <w:r w:rsidRPr="001E4484">
        <w:rPr>
          <w:rFonts w:asciiTheme="majorBidi" w:hAnsiTheme="majorBidi" w:cstheme="majorBidi"/>
          <w:color w:val="131413"/>
          <w:sz w:val="24"/>
          <w:szCs w:val="24"/>
        </w:rPr>
        <w:t>, Breast cancer, Sudanese patients</w:t>
      </w:r>
    </w:p>
    <w:sectPr w:rsidR="00B64153" w:rsidRPr="001E4484" w:rsidSect="00956B0D">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dhfqhAdvTTb5929f4c">
    <w:altName w:val="Arial"/>
    <w:panose1 w:val="00000000000000000000"/>
    <w:charset w:val="00"/>
    <w:family w:val="swiss"/>
    <w:notTrueType/>
    <w:pitch w:val="default"/>
    <w:sig w:usb0="00000003" w:usb1="00000000" w:usb2="00000000" w:usb3="00000000" w:csb0="00000001" w:csb1="00000000"/>
  </w:font>
  <w:font w:name="SphwkfAdvTTb5929f4c+20">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E4484"/>
    <w:rsid w:val="001E4484"/>
    <w:rsid w:val="00351193"/>
    <w:rsid w:val="00461C72"/>
    <w:rsid w:val="00956B0D"/>
    <w:rsid w:val="00F65EC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B0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1377</Characters>
  <Application>Microsoft Office Word</Application>
  <DocSecurity>0</DocSecurity>
  <Lines>11</Lines>
  <Paragraphs>3</Paragraphs>
  <ScaleCrop>false</ScaleCrop>
  <Company/>
  <LinksUpToDate>false</LinksUpToDate>
  <CharactersWithSpaces>1615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DR.MOH</dc:creator>
  <cp:lastModifiedBy>DR.MOH</cp:lastModifiedBy>
  <cp:revision>2</cp:revision>
  <dcterms:created xsi:type="dcterms:W3CDTF">2018-07-31T16:48:00Z</dcterms:created>
  <dcterms:modified xsi:type="dcterms:W3CDTF">2018-07-31T16:48:00Z</dcterms:modified>
</cp:coreProperties>
</file>