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ED0" w:rsidRDefault="00E16ED0" w:rsidP="00E16ED0">
      <w:pPr>
        <w:spacing w:after="0" w:line="360" w:lineRule="atLeast"/>
        <w:rPr>
          <w:rFonts w:ascii="Arial" w:eastAsia="Times New Roman" w:hAnsi="Arial" w:cs="Arial"/>
          <w:color w:val="000000"/>
          <w:sz w:val="20"/>
          <w:szCs w:val="20"/>
        </w:rPr>
      </w:pPr>
      <w:r w:rsidRPr="00E16ED0">
        <w:rPr>
          <w:rFonts w:ascii="Arial" w:eastAsia="Times New Roman" w:hAnsi="Arial" w:cs="Arial"/>
          <w:b/>
          <w:bCs/>
          <w:color w:val="000000"/>
          <w:sz w:val="20"/>
          <w:szCs w:val="20"/>
        </w:rPr>
        <w:t>Burden of Gene Mutations in Caribbean Women with Breast Cancer</w:t>
      </w:r>
      <w:r w:rsidRPr="00E16ED0">
        <w:rPr>
          <w:rFonts w:ascii="Arial" w:eastAsia="Times New Roman" w:hAnsi="Arial" w:cs="Arial"/>
          <w:color w:val="000000"/>
          <w:sz w:val="20"/>
          <w:szCs w:val="20"/>
        </w:rPr>
        <w:br/>
      </w:r>
      <w:r w:rsidRPr="00E16ED0">
        <w:rPr>
          <w:rFonts w:ascii="Arial" w:eastAsia="Times New Roman" w:hAnsi="Arial" w:cs="Arial"/>
          <w:i/>
          <w:iCs/>
          <w:color w:val="000000"/>
          <w:sz w:val="20"/>
          <w:szCs w:val="20"/>
          <w:u w:val="single"/>
        </w:rPr>
        <w:t>Edwin Chiu</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Gordon Moffat</w:t>
      </w:r>
      <w:r w:rsidR="000E456D">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xml:space="preserve">, </w:t>
      </w:r>
      <w:proofErr w:type="spellStart"/>
      <w:r w:rsidRPr="00E16ED0">
        <w:rPr>
          <w:rFonts w:ascii="Arial" w:eastAsia="Times New Roman" w:hAnsi="Arial" w:cs="Arial"/>
          <w:i/>
          <w:iCs/>
          <w:color w:val="000000"/>
          <w:sz w:val="20"/>
          <w:szCs w:val="20"/>
        </w:rPr>
        <w:t>Iuliana</w:t>
      </w:r>
      <w:proofErr w:type="spellEnd"/>
      <w:r w:rsidRPr="00E16ED0">
        <w:rPr>
          <w:rFonts w:ascii="Arial" w:eastAsia="Times New Roman" w:hAnsi="Arial" w:cs="Arial"/>
          <w:i/>
          <w:iCs/>
          <w:color w:val="000000"/>
          <w:sz w:val="20"/>
          <w:szCs w:val="20"/>
        </w:rPr>
        <w:t xml:space="preserve"> Shapira</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br/>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Department Hematology/Oncology, SUNY Downstate Medical Center, Bro</w:t>
      </w:r>
      <w:r w:rsidR="000E456D">
        <w:rPr>
          <w:rFonts w:ascii="Arial" w:eastAsia="Times New Roman" w:hAnsi="Arial" w:cs="Arial"/>
          <w:i/>
          <w:iCs/>
          <w:color w:val="000000"/>
          <w:sz w:val="20"/>
          <w:szCs w:val="20"/>
        </w:rPr>
        <w:t>oklyn, New York, United States</w:t>
      </w:r>
    </w:p>
    <w:p w:rsidR="00E16ED0" w:rsidRPr="00E16ED0" w:rsidRDefault="00E16ED0" w:rsidP="00E16ED0">
      <w:pPr>
        <w:spacing w:after="0" w:line="360" w:lineRule="atLeast"/>
        <w:rPr>
          <w:rFonts w:ascii="Arial" w:eastAsia="Times New Roman" w:hAnsi="Arial" w:cs="Arial"/>
          <w:color w:val="000000"/>
          <w:sz w:val="20"/>
          <w:szCs w:val="20"/>
        </w:rPr>
      </w:pP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Purpose of Study</w:t>
      </w:r>
      <w:r w:rsidR="007B3D16">
        <w:rPr>
          <w:rFonts w:ascii="Arial" w:eastAsia="Times New Roman" w:hAnsi="Arial" w:cs="Arial"/>
          <w:b/>
          <w:bCs/>
          <w:color w:val="000000"/>
          <w:sz w:val="20"/>
          <w:szCs w:val="20"/>
        </w:rPr>
        <w:t>:</w:t>
      </w:r>
      <w:r w:rsidRPr="00E16ED0">
        <w:rPr>
          <w:rFonts w:ascii="Arial" w:eastAsia="Times New Roman" w:hAnsi="Arial" w:cs="Arial"/>
          <w:color w:val="000000"/>
          <w:sz w:val="20"/>
          <w:szCs w:val="20"/>
        </w:rPr>
        <w:t xml:space="preserve"> Identifying mutations in breast cancer genes (BRCA1</w:t>
      </w:r>
      <w:r w:rsidR="00912F39">
        <w:rPr>
          <w:rFonts w:ascii="Arial" w:eastAsia="Times New Roman" w:hAnsi="Arial" w:cs="Arial"/>
          <w:color w:val="000000"/>
          <w:sz w:val="20"/>
          <w:szCs w:val="20"/>
        </w:rPr>
        <w:t>/2</w:t>
      </w:r>
      <w:r w:rsidRPr="00E16ED0">
        <w:rPr>
          <w:rFonts w:ascii="Arial" w:eastAsia="Times New Roman" w:hAnsi="Arial" w:cs="Arial"/>
          <w:color w:val="000000"/>
          <w:sz w:val="20"/>
          <w:szCs w:val="20"/>
        </w:rPr>
        <w:t xml:space="preserve">, PABL2) has important clinical implications on a woman's lifetime susceptibility </w:t>
      </w:r>
      <w:r w:rsidR="00541BCE">
        <w:rPr>
          <w:rFonts w:ascii="Arial" w:eastAsia="Times New Roman" w:hAnsi="Arial" w:cs="Arial"/>
          <w:color w:val="000000"/>
          <w:sz w:val="20"/>
          <w:szCs w:val="20"/>
        </w:rPr>
        <w:t>for</w:t>
      </w:r>
      <w:r w:rsidRPr="00E16ED0">
        <w:rPr>
          <w:rFonts w:ascii="Arial" w:eastAsia="Times New Roman" w:hAnsi="Arial" w:cs="Arial"/>
          <w:color w:val="000000"/>
          <w:sz w:val="20"/>
          <w:szCs w:val="20"/>
        </w:rPr>
        <w:t xml:space="preserve"> breast cancer development. Nearly 10% of immigrants to the United States come from the Caribbean and few studies exist that examine breast cancer gene mutations in African-Caribbean women with existing breast cancer. The purpose is to review breast cancer epidemiology statistics and prevalence of breast cancer genetic mutations in this cohort.</w:t>
      </w:r>
      <w:r w:rsidRPr="00E16ED0">
        <w:rPr>
          <w:rFonts w:ascii="Arial" w:eastAsia="Times New Roman" w:hAnsi="Arial" w:cs="Arial"/>
          <w:color w:val="000000"/>
          <w:sz w:val="20"/>
          <w:szCs w:val="20"/>
        </w:rPr>
        <w:br/>
      </w: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Summary of Results</w:t>
      </w:r>
      <w:r w:rsidRPr="00E16ED0">
        <w:rPr>
          <w:rFonts w:ascii="Arial" w:eastAsia="Times New Roman" w:hAnsi="Arial" w:cs="Arial"/>
          <w:color w:val="000000"/>
          <w:sz w:val="20"/>
          <w:szCs w:val="20"/>
        </w:rPr>
        <w:t xml:space="preserve"> Although </w:t>
      </w:r>
      <w:r w:rsidR="00541BCE">
        <w:rPr>
          <w:rFonts w:ascii="Arial" w:eastAsia="Times New Roman" w:hAnsi="Arial" w:cs="Arial"/>
          <w:color w:val="000000"/>
          <w:sz w:val="20"/>
          <w:szCs w:val="20"/>
        </w:rPr>
        <w:t>br</w:t>
      </w:r>
      <w:r w:rsidRPr="00E16ED0">
        <w:rPr>
          <w:rFonts w:ascii="Arial" w:eastAsia="Times New Roman" w:hAnsi="Arial" w:cs="Arial"/>
          <w:color w:val="000000"/>
          <w:sz w:val="20"/>
          <w:szCs w:val="20"/>
        </w:rPr>
        <w:t xml:space="preserve">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ancer cumulative incidence risk of Caribbean women (5-9%) appear to be less than that of the US women (10%), the cumulative mortality risk in the Caribbean cohort (up to 2.7%) appears greater than that of the US (1.6%). Through a PUBMED literature search, we have also identified five </w:t>
      </w:r>
      <w:r w:rsidR="00541BCE">
        <w:rPr>
          <w:rFonts w:ascii="Arial" w:eastAsia="Times New Roman" w:hAnsi="Arial" w:cs="Arial"/>
          <w:color w:val="000000"/>
          <w:sz w:val="20"/>
          <w:szCs w:val="20"/>
        </w:rPr>
        <w:t>c</w:t>
      </w:r>
      <w:r w:rsidR="00912F39">
        <w:rPr>
          <w:rFonts w:ascii="Arial" w:eastAsia="Times New Roman" w:hAnsi="Arial" w:cs="Arial"/>
          <w:color w:val="000000"/>
          <w:sz w:val="20"/>
          <w:szCs w:val="20"/>
        </w:rPr>
        <w:t>ross-</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ectional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ohort </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tudies on </w:t>
      </w:r>
      <w:r w:rsidR="00541BCE">
        <w:rPr>
          <w:rFonts w:ascii="Arial" w:eastAsia="Times New Roman" w:hAnsi="Arial" w:cs="Arial"/>
          <w:color w:val="000000"/>
          <w:sz w:val="20"/>
          <w:szCs w:val="20"/>
        </w:rPr>
        <w:t>b</w:t>
      </w:r>
      <w:r w:rsidRPr="00E16ED0">
        <w:rPr>
          <w:rFonts w:ascii="Arial" w:eastAsia="Times New Roman" w:hAnsi="Arial" w:cs="Arial"/>
          <w:color w:val="000000"/>
          <w:sz w:val="20"/>
          <w:szCs w:val="20"/>
        </w:rPr>
        <w:t xml:space="preserve">reast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ancer patients of Caribbean women who have undergone genetic mutation testing for BRCA1</w:t>
      </w:r>
      <w:r w:rsidR="00912F39">
        <w:rPr>
          <w:rFonts w:ascii="Arial" w:eastAsia="Times New Roman" w:hAnsi="Arial" w:cs="Arial"/>
          <w:color w:val="000000"/>
          <w:sz w:val="20"/>
          <w:szCs w:val="20"/>
        </w:rPr>
        <w:t>/</w:t>
      </w:r>
      <w:r w:rsidRPr="00E16ED0">
        <w:rPr>
          <w:rFonts w:ascii="Arial" w:eastAsia="Times New Roman" w:hAnsi="Arial" w:cs="Arial"/>
          <w:color w:val="000000"/>
          <w:sz w:val="20"/>
          <w:szCs w:val="20"/>
        </w:rPr>
        <w:t>2 and PALB2 with 27% cases in Bahamas (N=214 women); 2.8% cases in Jamaica (N=179 women); 10.4% cases in Trinidad/Tobago (N=268 women); none in Barbados (N=118 women); 2.6% in Cuba (N=307 women). No study accounted for ascertainment bias.</w:t>
      </w:r>
      <w:r w:rsidRPr="00E16ED0">
        <w:rPr>
          <w:rFonts w:ascii="Arial" w:eastAsia="Times New Roman" w:hAnsi="Arial" w:cs="Arial"/>
          <w:color w:val="000000"/>
          <w:sz w:val="20"/>
          <w:szCs w:val="20"/>
        </w:rPr>
        <w:br/>
      </w:r>
    </w:p>
    <w:p w:rsidR="0055019D" w:rsidRDefault="00E16ED0" w:rsidP="00E16ED0">
      <w:pPr>
        <w:rPr>
          <w:rFonts w:ascii="Arial" w:eastAsia="Times New Roman" w:hAnsi="Arial" w:cs="Arial"/>
          <w:color w:val="000000"/>
          <w:sz w:val="20"/>
          <w:szCs w:val="20"/>
        </w:rPr>
      </w:pPr>
      <w:r w:rsidRPr="00E16ED0">
        <w:rPr>
          <w:rFonts w:ascii="Arial" w:eastAsia="Times New Roman" w:hAnsi="Arial" w:cs="Arial"/>
          <w:b/>
          <w:bCs/>
          <w:color w:val="000000"/>
          <w:sz w:val="20"/>
          <w:szCs w:val="20"/>
        </w:rPr>
        <w:t>Conclusions</w:t>
      </w:r>
      <w:r w:rsidRPr="00E16ED0">
        <w:rPr>
          <w:rFonts w:ascii="Arial" w:eastAsia="Times New Roman" w:hAnsi="Arial" w:cs="Arial"/>
          <w:color w:val="000000"/>
          <w:sz w:val="20"/>
          <w:szCs w:val="20"/>
        </w:rPr>
        <w:t xml:space="preserve"> This study summarizes the estimate of breast cancer incidence and mortality in Caribbean women and known prevalence of BRCA1/2 and PALB2 breast cancer gene mutations in this cohort. This is critical as part of a formal genetic risk assessment and counseling of patients with breast cancer. Further research and understanding the contributions of inherited gene mutations will guide the optimal health policy in breast cancer screening and risk management.</w:t>
      </w:r>
    </w:p>
    <w:p w:rsidR="00A70C03" w:rsidRDefault="00A70C03" w:rsidP="00A70C03">
      <w:pPr>
        <w:spacing w:after="0" w:line="240" w:lineRule="auto"/>
        <w:rPr>
          <w:sz w:val="16"/>
          <w:szCs w:val="16"/>
        </w:rPr>
      </w:pPr>
      <w:r w:rsidRPr="00A3556B">
        <w:rPr>
          <w:noProof/>
          <w:sz w:val="16"/>
          <w:szCs w:val="16"/>
        </w:rPr>
        <w:drawing>
          <wp:inline distT="0" distB="0" distL="0" distR="0">
            <wp:extent cx="1581150" cy="1981200"/>
            <wp:effectExtent l="0" t="0" r="0" b="0"/>
            <wp:docPr id="1" name="Picture 1" descr="13245493_10101423738000241_41029826851664610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245493_10101423738000241_4102982685166461095_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1150" cy="1981200"/>
                    </a:xfrm>
                    <a:prstGeom prst="rect">
                      <a:avLst/>
                    </a:prstGeom>
                    <a:noFill/>
                    <a:ln>
                      <a:noFill/>
                    </a:ln>
                  </pic:spPr>
                </pic:pic>
              </a:graphicData>
            </a:graphic>
          </wp:inline>
        </w:drawing>
      </w:r>
    </w:p>
    <w:p w:rsidR="00A70C03" w:rsidRDefault="00A70C03" w:rsidP="00A70C03">
      <w:pPr>
        <w:spacing w:after="0" w:line="240" w:lineRule="auto"/>
        <w:rPr>
          <w:sz w:val="16"/>
          <w:szCs w:val="16"/>
        </w:rPr>
      </w:pPr>
    </w:p>
    <w:p w:rsidR="00A70C03" w:rsidRDefault="00A70C03" w:rsidP="00A70C03">
      <w:pPr>
        <w:spacing w:after="0" w:line="240" w:lineRule="auto"/>
        <w:rPr>
          <w:sz w:val="28"/>
          <w:szCs w:val="28"/>
        </w:rPr>
      </w:pPr>
      <w:r>
        <w:rPr>
          <w:sz w:val="28"/>
          <w:szCs w:val="28"/>
        </w:rPr>
        <w:t xml:space="preserve">Gordon Moffat has his experience if Life Sciences with an Honors in Biology with training in Radiology. His passion for science and interest in microbiology lead him to pursue and obtain a Doctor of Medicine. Currently he is working at the State University of New York Brooklyn Health Sciences Center in Internal Medicine and the forthcoming Medicine Chief Resident. His professional interests include: Medical Oncology, Hospice and Palliative Medicine, and Geriatric Medicine. He is currently working on research projects at Memorial Sloan Kettering Cancer Center </w:t>
      </w:r>
      <w:r>
        <w:rPr>
          <w:sz w:val="28"/>
          <w:szCs w:val="28"/>
        </w:rPr>
        <w:lastRenderedPageBreak/>
        <w:t xml:space="preserve">in Manhattan, New York that are expected to be published. He is also a candidate for the Alpha Omega Alpha Honor Medical Society Postgraduate Fellowship Award. </w:t>
      </w:r>
      <w:r>
        <w:rPr>
          <w:sz w:val="28"/>
          <w:szCs w:val="28"/>
        </w:rPr>
        <w:br/>
      </w:r>
      <w:r>
        <w:rPr>
          <w:sz w:val="28"/>
          <w:szCs w:val="28"/>
        </w:rPr>
        <w:br/>
        <w:t xml:space="preserve">Gordon Taylor Moffat </w:t>
      </w:r>
      <w:r>
        <w:rPr>
          <w:sz w:val="28"/>
          <w:szCs w:val="28"/>
        </w:rPr>
        <w:br/>
        <w:t>Phone No: 3474133116</w:t>
      </w:r>
      <w:r>
        <w:rPr>
          <w:sz w:val="28"/>
          <w:szCs w:val="28"/>
        </w:rPr>
        <w:br/>
        <w:t xml:space="preserve">Category: Poster Presentation </w:t>
      </w:r>
      <w:bookmarkStart w:id="0" w:name="_GoBack"/>
      <w:bookmarkEnd w:id="0"/>
    </w:p>
    <w:p w:rsidR="00A70C03" w:rsidRPr="00A3556B" w:rsidRDefault="00A70C03" w:rsidP="00A70C03">
      <w:pPr>
        <w:spacing w:after="0" w:line="240" w:lineRule="auto"/>
        <w:rPr>
          <w:sz w:val="28"/>
          <w:szCs w:val="28"/>
        </w:rPr>
      </w:pPr>
      <w:hyperlink r:id="rId5" w:history="1">
        <w:r w:rsidRPr="001F30BF">
          <w:rPr>
            <w:rStyle w:val="Hyperlink"/>
            <w:sz w:val="28"/>
            <w:szCs w:val="28"/>
          </w:rPr>
          <w:t>Gordon.moffat@downstate.edu</w:t>
        </w:r>
      </w:hyperlink>
      <w:r>
        <w:rPr>
          <w:sz w:val="28"/>
          <w:szCs w:val="28"/>
        </w:rPr>
        <w:br/>
      </w:r>
    </w:p>
    <w:p w:rsidR="00A70C03" w:rsidRDefault="00A70C03" w:rsidP="00E16ED0"/>
    <w:sectPr w:rsidR="00A70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D0"/>
    <w:rsid w:val="000E456D"/>
    <w:rsid w:val="00541BCE"/>
    <w:rsid w:val="0055019D"/>
    <w:rsid w:val="007B3D16"/>
    <w:rsid w:val="00912F39"/>
    <w:rsid w:val="00A70C03"/>
    <w:rsid w:val="00E16ED0"/>
    <w:rsid w:val="00ED0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48FAF-2CE2-4E06-84EA-684A5840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70C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rdon.moffat@downstate.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New York City Health and Hospitals Corporation</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Moffat, Gordon</dc:creator>
  <cp:keywords/>
  <dc:description/>
  <cp:lastModifiedBy>Moffat, Gordon</cp:lastModifiedBy>
  <cp:revision>7</cp:revision>
  <dcterms:created xsi:type="dcterms:W3CDTF">2018-03-26T19:18:00Z</dcterms:created>
  <dcterms:modified xsi:type="dcterms:W3CDTF">2018-06-29T02:40:00Z</dcterms:modified>
</cp:coreProperties>
</file>