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87" w:rsidRDefault="00CA1324"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There is increasing evidence for a strong inherited genetic basis of susceptibility to acute lymphoblastic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leukaemia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(ALL) in children. To identify new risk variants for B-cell ALL (B-ALL) we conducted a meta-analysis with four GWAS (genome-wide association studies),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totalling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5321 cases and 16,666 controls of European descent. We herein describe novel risk loci for B-ALL at 9q21.31 (rs76925697,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P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 = 2.11 × 10</w:t>
      </w:r>
      <w:r>
        <w:rPr>
          <w:rFonts w:ascii="Times" w:hAnsi="Times" w:cs="Times"/>
          <w:color w:val="222222"/>
          <w:sz w:val="23"/>
          <w:szCs w:val="23"/>
          <w:shd w:val="clear" w:color="auto" w:fill="FFFFFF"/>
          <w:vertAlign w:val="superscript"/>
        </w:rPr>
        <w:t>−8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), for high-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hyperdiploid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ALL at 5q31.1 (rs886285,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P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 = 1.56 × 10</w:t>
      </w:r>
      <w:r>
        <w:rPr>
          <w:rFonts w:ascii="Times" w:hAnsi="Times" w:cs="Times"/>
          <w:color w:val="222222"/>
          <w:sz w:val="23"/>
          <w:szCs w:val="23"/>
          <w:shd w:val="clear" w:color="auto" w:fill="FFFFFF"/>
          <w:vertAlign w:val="superscript"/>
        </w:rPr>
        <w:t>−8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) and 6p21.31 (rs210143 in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BAK1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,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P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 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=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 2.21 × 10</w:t>
      </w:r>
      <w:r>
        <w:rPr>
          <w:rFonts w:ascii="Times" w:hAnsi="Times" w:cs="Times"/>
          <w:color w:val="222222"/>
          <w:sz w:val="23"/>
          <w:szCs w:val="23"/>
          <w:shd w:val="clear" w:color="auto" w:fill="FFFFFF"/>
          <w:vertAlign w:val="superscript"/>
        </w:rPr>
        <w:t>−8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), and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ETV6-RUNX1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 ALL at 17q21.32 (rs10853104 in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IGF2BP1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,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P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 = 1.82 × 10</w:t>
      </w:r>
      <w:r>
        <w:rPr>
          <w:rFonts w:ascii="Times" w:hAnsi="Times" w:cs="Times"/>
          <w:color w:val="222222"/>
          <w:sz w:val="23"/>
          <w:szCs w:val="23"/>
          <w:shd w:val="clear" w:color="auto" w:fill="FFFFFF"/>
          <w:vertAlign w:val="superscript"/>
        </w:rPr>
        <w:t>−8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). Particularly notable are the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pleiotropic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effects of the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BAK1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 variant on multiple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haematological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malignancies and specific effects of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IGF2BP1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 on </w:t>
      </w:r>
      <w:r>
        <w:rPr>
          <w:rFonts w:ascii="Times" w:hAnsi="Times" w:cs="Times"/>
          <w:i/>
          <w:iCs/>
          <w:color w:val="222222"/>
          <w:sz w:val="30"/>
          <w:szCs w:val="30"/>
          <w:shd w:val="clear" w:color="auto" w:fill="FFFFFF"/>
        </w:rPr>
        <w:t>ETV6-RUNX1</w:t>
      </w:r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 ALL evidenced by both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germline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and somatic genomic analyses. Integration of GWAS signals with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transcriptomic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/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epigenomic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profiling and 3D chromatin interaction data for these </w:t>
      </w:r>
      <w:proofErr w:type="spellStart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>leukaemia</w:t>
      </w:r>
      <w:proofErr w:type="spellEnd"/>
      <w:r>
        <w:rPr>
          <w:rFonts w:ascii="Times" w:hAnsi="Times" w:cs="Times"/>
          <w:color w:val="222222"/>
          <w:sz w:val="30"/>
          <w:szCs w:val="30"/>
          <w:shd w:val="clear" w:color="auto" w:fill="FFFFFF"/>
        </w:rPr>
        <w:t xml:space="preserve"> risk loci suggests deregulation of B-cell development and the cell cycle as central mechanisms governing genetic susceptibility to ALL.</w:t>
      </w:r>
    </w:p>
    <w:sectPr w:rsidR="00B91A87" w:rsidSect="00B91A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CA1324"/>
    <w:rsid w:val="00B91A87"/>
    <w:rsid w:val="00CA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2019-12-03T05:34:00Z</dcterms:created>
  <dcterms:modified xsi:type="dcterms:W3CDTF">2019-12-03T05:38:00Z</dcterms:modified>
</cp:coreProperties>
</file>