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F6E" w:rsidRDefault="00641F6E">
      <w:r>
        <w:rPr>
          <w:rFonts w:eastAsia="Times New Roman"/>
          <w:color w:val="222222"/>
          <w:sz w:val="27"/>
          <w:szCs w:val="27"/>
          <w:shd w:val="clear" w:color="auto" w:fill="FFFFFF"/>
        </w:rPr>
        <w:t xml:space="preserve">Glioblastomas (GBM), the most common malignant primary brain </w:t>
      </w:r>
      <w:proofErr w:type="spellStart"/>
      <w:r>
        <w:rPr>
          <w:rFonts w:eastAsia="Times New Roman"/>
          <w:color w:val="222222"/>
          <w:sz w:val="27"/>
          <w:szCs w:val="27"/>
          <w:shd w:val="clear" w:color="auto" w:fill="FFFFFF"/>
        </w:rPr>
        <w:t>tumors</w:t>
      </w:r>
      <w:proofErr w:type="spellEnd"/>
      <w:r>
        <w:rPr>
          <w:rFonts w:eastAsia="Times New Roman"/>
          <w:color w:val="222222"/>
          <w:sz w:val="27"/>
          <w:szCs w:val="27"/>
          <w:shd w:val="clear" w:color="auto" w:fill="FFFFFF"/>
        </w:rPr>
        <w:t>, remain incurable with high mortality and poor survival of less than 14 months</w:t>
      </w:r>
      <w:hyperlink r:id="rId4" w:anchor="ref-CR1" w:tooltip="Johnson, D. R. &amp; O’Neill, B. P. Glioblastoma survival in the United States before and during the temozolomide era. J. Neurooncol. 107, 359–364 (2012)." w:history="1">
        <w:r>
          <w:rPr>
            <w:rStyle w:val="Hyperlink"/>
            <w:rFonts w:eastAsia="Times New Roman"/>
            <w:color w:val="006699"/>
            <w:sz w:val="20"/>
            <w:szCs w:val="20"/>
          </w:rPr>
          <w:t>1</w:t>
        </w:r>
      </w:hyperlink>
      <w:r>
        <w:rPr>
          <w:rFonts w:eastAsia="Times New Roman"/>
          <w:color w:val="222222"/>
          <w:sz w:val="27"/>
          <w:szCs w:val="27"/>
          <w:shd w:val="clear" w:color="auto" w:fill="FFFFFF"/>
        </w:rPr>
        <w:t xml:space="preserve">. Effective treatment modalities are lacking due to the location of these </w:t>
      </w:r>
      <w:proofErr w:type="spellStart"/>
      <w:r>
        <w:rPr>
          <w:rFonts w:eastAsia="Times New Roman"/>
          <w:color w:val="222222"/>
          <w:sz w:val="27"/>
          <w:szCs w:val="27"/>
          <w:shd w:val="clear" w:color="auto" w:fill="FFFFFF"/>
        </w:rPr>
        <w:t>tumors</w:t>
      </w:r>
      <w:proofErr w:type="spellEnd"/>
      <w:r>
        <w:rPr>
          <w:rFonts w:eastAsia="Times New Roman"/>
          <w:color w:val="222222"/>
          <w:sz w:val="27"/>
          <w:szCs w:val="27"/>
          <w:shd w:val="clear" w:color="auto" w:fill="FFFFFF"/>
        </w:rPr>
        <w:t xml:space="preserve"> complicating drug delivery, their invasive nature decreasing the possibility of complete </w:t>
      </w:r>
      <w:proofErr w:type="spellStart"/>
      <w:r>
        <w:rPr>
          <w:rFonts w:eastAsia="Times New Roman"/>
          <w:color w:val="222222"/>
          <w:sz w:val="27"/>
          <w:szCs w:val="27"/>
          <w:shd w:val="clear" w:color="auto" w:fill="FFFFFF"/>
        </w:rPr>
        <w:t>tumor</w:t>
      </w:r>
      <w:proofErr w:type="spellEnd"/>
      <w:r>
        <w:rPr>
          <w:rFonts w:eastAsia="Times New Roman"/>
          <w:color w:val="222222"/>
          <w:sz w:val="27"/>
          <w:szCs w:val="27"/>
          <w:shd w:val="clear" w:color="auto" w:fill="FFFFFF"/>
        </w:rPr>
        <w:t xml:space="preserve"> resection, as well as their heterogeneity with several genetic aberrations that drive </w:t>
      </w:r>
      <w:proofErr w:type="spellStart"/>
      <w:r>
        <w:rPr>
          <w:rFonts w:eastAsia="Times New Roman"/>
          <w:color w:val="222222"/>
          <w:sz w:val="27"/>
          <w:szCs w:val="27"/>
          <w:shd w:val="clear" w:color="auto" w:fill="FFFFFF"/>
        </w:rPr>
        <w:t>tumor</w:t>
      </w:r>
      <w:proofErr w:type="spellEnd"/>
      <w:r>
        <w:rPr>
          <w:rFonts w:eastAsia="Times New Roman"/>
          <w:color w:val="222222"/>
          <w:sz w:val="27"/>
          <w:szCs w:val="27"/>
          <w:shd w:val="clear" w:color="auto" w:fill="FFFFFF"/>
        </w:rPr>
        <w:t xml:space="preserve"> growth. Deciphering the molecular mechanisms promoting therapeutic resistance or enhancing the ability of </w:t>
      </w:r>
      <w:proofErr w:type="spellStart"/>
      <w:r>
        <w:rPr>
          <w:rFonts w:eastAsia="Times New Roman"/>
          <w:color w:val="222222"/>
          <w:sz w:val="27"/>
          <w:szCs w:val="27"/>
          <w:shd w:val="clear" w:color="auto" w:fill="FFFFFF"/>
        </w:rPr>
        <w:t>tumor</w:t>
      </w:r>
      <w:proofErr w:type="spellEnd"/>
      <w:r>
        <w:rPr>
          <w:rFonts w:eastAsia="Times New Roman"/>
          <w:color w:val="222222"/>
          <w:sz w:val="27"/>
          <w:szCs w:val="27"/>
          <w:shd w:val="clear" w:color="auto" w:fill="FFFFFF"/>
        </w:rPr>
        <w:t xml:space="preserve"> initiation glioma-stem-like cells (GSCs) to proliferate and drive </w:t>
      </w:r>
      <w:proofErr w:type="spellStart"/>
      <w:r>
        <w:rPr>
          <w:rFonts w:eastAsia="Times New Roman"/>
          <w:color w:val="222222"/>
          <w:sz w:val="27"/>
          <w:szCs w:val="27"/>
          <w:shd w:val="clear" w:color="auto" w:fill="FFFFFF"/>
        </w:rPr>
        <w:t>tumor</w:t>
      </w:r>
      <w:proofErr w:type="spellEnd"/>
      <w:r>
        <w:rPr>
          <w:rFonts w:eastAsia="Times New Roman"/>
          <w:color w:val="222222"/>
          <w:sz w:val="27"/>
          <w:szCs w:val="27"/>
          <w:shd w:val="clear" w:color="auto" w:fill="FFFFFF"/>
        </w:rPr>
        <w:t xml:space="preserve"> growth is key to identifying effective therapies. Because of their inherent plasticity, GSCs can adapt to therapeutic insults and respond by activating various transcription factors that promote survival. For instance, the transcription factor nuclear factor-kappa B (NF-</w:t>
      </w:r>
      <w:proofErr w:type="spellStart"/>
      <w:r>
        <w:rPr>
          <w:rFonts w:eastAsia="Times New Roman"/>
          <w:color w:val="222222"/>
          <w:sz w:val="27"/>
          <w:szCs w:val="27"/>
          <w:shd w:val="clear" w:color="auto" w:fill="FFFFFF"/>
        </w:rPr>
        <w:t>κB</w:t>
      </w:r>
      <w:proofErr w:type="spellEnd"/>
      <w:r>
        <w:rPr>
          <w:rFonts w:eastAsia="Times New Roman"/>
          <w:color w:val="222222"/>
          <w:sz w:val="27"/>
          <w:szCs w:val="27"/>
          <w:shd w:val="clear" w:color="auto" w:fill="FFFFFF"/>
        </w:rPr>
        <w:t>), potently activated by inflammatory cytokines such as TNFα and IL-6, promotes invasion, self-renewal and proliferation, and therapeutic resistance in GSCs</w:t>
      </w:r>
      <w:hyperlink r:id="rId5" w:anchor="ref-CR2" w:tooltip="Bhat, K. P. et al. Mesenchymal differentiation mediated by NF-kappaB promotes radiation resistance in glioblastoma. Cancer Cell 24, 331–346 (2013)." w:history="1">
        <w:r>
          <w:rPr>
            <w:rStyle w:val="Hyperlink"/>
            <w:rFonts w:eastAsia="Times New Roman"/>
            <w:color w:val="006699"/>
            <w:sz w:val="20"/>
            <w:szCs w:val="20"/>
          </w:rPr>
          <w:t>2</w:t>
        </w:r>
      </w:hyperlink>
      <w:r>
        <w:rPr>
          <w:rFonts w:eastAsia="Times New Roman"/>
          <w:color w:val="222222"/>
          <w:sz w:val="20"/>
          <w:szCs w:val="20"/>
          <w:shd w:val="clear" w:color="auto" w:fill="FFFFFF"/>
          <w:vertAlign w:val="superscript"/>
        </w:rPr>
        <w:t>,</w:t>
      </w:r>
      <w:hyperlink r:id="rId6" w:anchor="ref-CR3" w:tooltip="Teng, J. et al. Dissecting inherent intratumor heterogeneity in patient-derived glioblastoma culture models. Neuro. Oncol. 19, 820–832 (2017)." w:history="1">
        <w:r>
          <w:rPr>
            <w:rStyle w:val="Hyperlink"/>
            <w:rFonts w:eastAsia="Times New Roman"/>
            <w:color w:val="006699"/>
            <w:sz w:val="20"/>
            <w:szCs w:val="20"/>
          </w:rPr>
          <w:t>3</w:t>
        </w:r>
      </w:hyperlink>
      <w:r>
        <w:rPr>
          <w:rFonts w:eastAsia="Times New Roman"/>
          <w:color w:val="222222"/>
          <w:sz w:val="27"/>
          <w:szCs w:val="27"/>
          <w:shd w:val="clear" w:color="auto" w:fill="FFFFFF"/>
        </w:rPr>
        <w:t>.</w:t>
      </w:r>
      <w:bookmarkStart w:id="0" w:name="_GoBack"/>
      <w:bookmarkEnd w:id="0"/>
    </w:p>
    <w:sectPr w:rsidR="00641F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F6E"/>
    <w:rsid w:val="00641F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D029671-F67E-FA4F-9D4C-CE2C6E2C5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1F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nature.com/articles/s41419-019-1505-5" TargetMode="External" /><Relationship Id="rId5" Type="http://schemas.openxmlformats.org/officeDocument/2006/relationships/hyperlink" Target="https://www.nature.com/articles/s41419-019-1505-5" TargetMode="External" /><Relationship Id="rId4" Type="http://schemas.openxmlformats.org/officeDocument/2006/relationships/hyperlink" Target="https://www.nature.com/articles/s41419-019-15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1470</Characters>
  <Application>Microsoft Office Word</Application>
  <DocSecurity>0</DocSecurity>
  <Lines>12</Lines>
  <Paragraphs>3</Paragraphs>
  <ScaleCrop>false</ScaleCrop>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AKSHAY WADHWA</dc:creator>
  <cp:keywords/>
  <dc:description/>
  <cp:lastModifiedBy>AKSHAY WADHWA</cp:lastModifiedBy>
  <cp:revision>2</cp:revision>
  <dcterms:created xsi:type="dcterms:W3CDTF">2019-11-30T06:28:00Z</dcterms:created>
  <dcterms:modified xsi:type="dcterms:W3CDTF">2019-11-30T06:28:00Z</dcterms:modified>
</cp:coreProperties>
</file>