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C80F1" w14:textId="4CBF66E1" w:rsidR="00EC2298" w:rsidRDefault="009B2261">
      <w:r w:rsidRPr="009B2261">
        <w:t>Late-stage breast cancer preferentially metastasises to bone; despite advances in targeted therapies, this condition remains incurable. The lack of clinically relevant models for studying breast cancer metastasis to a human bone microenvironment has stunted the development of effective treatments for this condition. To address this problem, we have developed humanised mouse models in which breast cancer patient-derived xenografts (PDXs) metastasise to human bone implants with low variability and high frequency.</w:t>
      </w:r>
      <w:bookmarkStart w:id="0" w:name="_GoBack"/>
      <w:bookmarkEnd w:id="0"/>
    </w:p>
    <w:sectPr w:rsidR="00EC22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98"/>
    <w:rsid w:val="009B2261"/>
    <w:rsid w:val="00EC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44726"/>
  <w15:chartTrackingRefBased/>
  <w15:docId w15:val="{6DECA0FC-296E-FC4F-86F0-3A617B3C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AKSHAY WADHWA</dc:creator>
  <cp:keywords/>
  <dc:description/>
  <cp:lastModifiedBy>AKSHAY WADHWA</cp:lastModifiedBy>
  <cp:revision>3</cp:revision>
  <dcterms:created xsi:type="dcterms:W3CDTF">2019-11-30T05:58:00Z</dcterms:created>
  <dcterms:modified xsi:type="dcterms:W3CDTF">2019-11-30T06:14:00Z</dcterms:modified>
</cp:coreProperties>
</file>