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2BD" w:rsidRPr="00E062BD" w:rsidRDefault="00E062BD" w:rsidP="00E062BD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130" w:type="dxa"/>
        <w:tblInd w:w="-6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30"/>
      </w:tblGrid>
      <w:tr w:rsidR="00E062BD" w:rsidRPr="00E062BD" w:rsidTr="005B15D1">
        <w:trPr>
          <w:trHeight w:val="301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2BD" w:rsidRPr="00E062BD" w:rsidRDefault="00E062BD" w:rsidP="00E062BD">
            <w:pPr>
              <w:bidi w:val="0"/>
              <w:spacing w:after="0" w:line="300" w:lineRule="atLeas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E062BD">
              <w:rPr>
                <w:rFonts w:ascii="Arial" w:eastAsia="Times New Roman" w:hAnsi="Arial" w:cs="Arial"/>
                <w:b/>
                <w:bCs/>
                <w:color w:val="606060"/>
                <w:sz w:val="21"/>
                <w:szCs w:val="21"/>
                <w:u w:val="single"/>
              </w:rPr>
              <w:t>Abstract</w:t>
            </w:r>
          </w:p>
        </w:tc>
      </w:tr>
      <w:tr w:rsidR="00E062BD" w:rsidRPr="00E062BD" w:rsidTr="005B15D1">
        <w:trPr>
          <w:trHeight w:val="301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2BD" w:rsidRPr="00E062BD" w:rsidRDefault="00E062BD" w:rsidP="00E062BD">
            <w:pPr>
              <w:bidi w:val="0"/>
              <w:spacing w:after="0" w:line="300" w:lineRule="atLeas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E062BD">
              <w:rPr>
                <w:rFonts w:ascii="Arial" w:eastAsia="Times New Roman" w:hAnsi="Arial" w:cs="Arial"/>
                <w:b/>
                <w:bCs/>
                <w:color w:val="606060"/>
                <w:sz w:val="20"/>
                <w:szCs w:val="20"/>
              </w:rPr>
              <w:t>TITLE: </w:t>
            </w:r>
            <w:proofErr w:type="spellStart"/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Post Surgical</w:t>
            </w:r>
            <w:proofErr w:type="spellEnd"/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Colorectal Cancer 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(CRC)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Surveillance: PET/CT Versus CT</w:t>
            </w:r>
          </w:p>
        </w:tc>
      </w:tr>
      <w:tr w:rsidR="00E062BD" w:rsidRPr="00E062BD" w:rsidTr="005B15D1">
        <w:trPr>
          <w:trHeight w:val="602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2BD" w:rsidRPr="00E062BD" w:rsidRDefault="00E062BD" w:rsidP="005B15D1">
            <w:pPr>
              <w:bidi w:val="0"/>
              <w:spacing w:after="0" w:line="300" w:lineRule="atLeas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E062BD">
              <w:rPr>
                <w:rFonts w:ascii="Arial" w:eastAsia="Times New Roman" w:hAnsi="Arial" w:cs="Arial"/>
                <w:b/>
                <w:bCs/>
                <w:color w:val="606060"/>
                <w:sz w:val="20"/>
                <w:szCs w:val="20"/>
              </w:rPr>
              <w:t>AUTHORS (LAST NAME, FIRST NAME): </w:t>
            </w:r>
            <w:proofErr w:type="spellStart"/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  <w:u w:val="single"/>
              </w:rPr>
              <w:t>M</w:t>
            </w:r>
            <w:r w:rsidR="00A41E35" w:rsidRPr="00E062BD">
              <w:rPr>
                <w:rFonts w:ascii="Arial" w:eastAsia="Times New Roman" w:hAnsi="Arial" w:cs="Arial"/>
                <w:color w:val="606060"/>
                <w:sz w:val="20"/>
                <w:szCs w:val="20"/>
                <w:u w:val="single"/>
              </w:rPr>
              <w:t>azarieb</w:t>
            </w:r>
            <w:proofErr w:type="spellEnd"/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  <w:u w:val="single"/>
              </w:rPr>
              <w:t xml:space="preserve">, 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  <w:u w:val="single"/>
              </w:rPr>
              <w:t>M</w:t>
            </w:r>
            <w:r w:rsidR="00A41E35" w:rsidRPr="00E062BD">
              <w:rPr>
                <w:rFonts w:ascii="Arial" w:eastAsia="Times New Roman" w:hAnsi="Arial" w:cs="Arial"/>
                <w:color w:val="606060"/>
                <w:sz w:val="20"/>
                <w:szCs w:val="20"/>
                <w:u w:val="single"/>
              </w:rPr>
              <w:t>ai</w:t>
            </w:r>
            <w:r w:rsidR="00A41E35" w:rsidRPr="00E062BD">
              <w:rPr>
                <w:rFonts w:ascii="Arial" w:eastAsia="Times New Roman" w:hAnsi="Arial" w:cs="Arial"/>
                <w:color w:val="606060"/>
                <w:sz w:val="15"/>
                <w:szCs w:val="15"/>
                <w:vertAlign w:val="superscript"/>
              </w:rPr>
              <w:t>1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;</w:t>
            </w:r>
            <w:r w:rsidR="005B15D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I</w:t>
            </w:r>
            <w:r w:rsidR="005B15D1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nbar,</w:t>
            </w:r>
            <w:r w:rsidR="005B15D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Y</w:t>
            </w:r>
            <w:r w:rsidR="005B15D1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oav</w:t>
            </w:r>
            <w:r w:rsidR="005B15D1" w:rsidRPr="00E062BD">
              <w:rPr>
                <w:rFonts w:ascii="Arial" w:eastAsia="Times New Roman" w:hAnsi="Arial" w:cs="Arial"/>
                <w:color w:val="606060"/>
                <w:sz w:val="15"/>
                <w:szCs w:val="15"/>
                <w:vertAlign w:val="superscript"/>
              </w:rPr>
              <w:t>1</w:t>
            </w:r>
            <w:r w:rsidR="005B15D1">
              <w:rPr>
                <w:rFonts w:ascii="Arial" w:eastAsia="Times New Roman" w:hAnsi="Arial" w:cs="Arial"/>
                <w:color w:val="606060"/>
                <w:sz w:val="15"/>
                <w:szCs w:val="15"/>
                <w:vertAlign w:val="superscript"/>
              </w:rPr>
              <w:t xml:space="preserve"> </w:t>
            </w:r>
            <w:proofErr w:type="spellStart"/>
            <w:r w:rsidR="005B15D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Nir</w:t>
            </w:r>
            <w:proofErr w:type="spellEnd"/>
            <w:r w:rsidR="005B15D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,Wasserberg</w:t>
            </w:r>
            <w:r w:rsidR="005B15D1" w:rsidRPr="00E062BD">
              <w:rPr>
                <w:rFonts w:ascii="Arial" w:eastAsia="Times New Roman" w:hAnsi="Arial" w:cs="Arial"/>
                <w:color w:val="606060"/>
                <w:sz w:val="15"/>
                <w:szCs w:val="15"/>
                <w:vertAlign w:val="superscript"/>
              </w:rPr>
              <w:t>1</w:t>
            </w:r>
            <w:r w:rsidR="005B15D1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; </w:t>
            </w:r>
            <w:proofErr w:type="spellStart"/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G</w:t>
            </w:r>
            <w:r w:rsidR="00A41E35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utman</w:t>
            </w:r>
            <w:proofErr w:type="spellEnd"/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, 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H</w:t>
            </w:r>
            <w:r w:rsidR="00A41E35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aim</w:t>
            </w:r>
            <w:r w:rsidR="00A41E35" w:rsidRPr="00E062BD">
              <w:rPr>
                <w:rFonts w:ascii="Arial" w:eastAsia="Times New Roman" w:hAnsi="Arial" w:cs="Arial"/>
                <w:color w:val="606060"/>
                <w:sz w:val="15"/>
                <w:szCs w:val="15"/>
                <w:vertAlign w:val="superscript"/>
              </w:rPr>
              <w:t>1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; </w:t>
            </w:r>
          </w:p>
        </w:tc>
      </w:tr>
      <w:tr w:rsidR="00E062BD" w:rsidRPr="00E062BD" w:rsidTr="005B15D1">
        <w:trPr>
          <w:trHeight w:val="602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062BD" w:rsidRPr="00E062BD" w:rsidRDefault="00E062BD" w:rsidP="00A41E35">
            <w:pPr>
              <w:bidi w:val="0"/>
              <w:spacing w:after="0" w:line="300" w:lineRule="atLeas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E062BD">
              <w:rPr>
                <w:rFonts w:ascii="Arial" w:eastAsia="Times New Roman" w:hAnsi="Arial" w:cs="Arial"/>
                <w:b/>
                <w:bCs/>
                <w:color w:val="606060"/>
                <w:sz w:val="20"/>
                <w:szCs w:val="20"/>
              </w:rPr>
              <w:t>INSTITUTIONS (ALL): 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1. 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Tel Aviv University, </w:t>
            </w:r>
            <w:proofErr w:type="spellStart"/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Sackler</w:t>
            </w:r>
            <w:proofErr w:type="spellEnd"/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School of Medicine, R</w:t>
            </w:r>
            <w:r w:rsidR="00A41E35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ab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i</w:t>
            </w:r>
            <w:r w:rsidR="00A41E35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n 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M</w:t>
            </w:r>
            <w:r w:rsidR="00A41E35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edical 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</w:t>
            </w:r>
            <w:r w:rsidR="00A41E35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enter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, Petah </w:t>
            </w:r>
            <w:proofErr w:type="spellStart"/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Tikva</w:t>
            </w:r>
            <w:proofErr w:type="spellEnd"/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, Israel.</w:t>
            </w:r>
          </w:p>
        </w:tc>
      </w:tr>
      <w:tr w:rsidR="00E062BD" w:rsidRPr="00E062BD" w:rsidTr="005B15D1">
        <w:trPr>
          <w:trHeight w:val="8124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135FC" w:rsidRDefault="00E062BD" w:rsidP="00460EF4">
            <w:pPr>
              <w:bidi w:val="0"/>
              <w:spacing w:after="0" w:line="300" w:lineRule="atLeast"/>
              <w:rPr>
                <w:rFonts w:ascii="Arial" w:eastAsia="Times New Roman" w:hAnsi="Arial" w:cs="Arial"/>
                <w:color w:val="606060"/>
                <w:sz w:val="20"/>
                <w:szCs w:val="20"/>
              </w:rPr>
            </w:pPr>
            <w:r w:rsidRPr="00E062BD">
              <w:rPr>
                <w:rFonts w:ascii="Arial" w:eastAsia="Times New Roman" w:hAnsi="Arial" w:cs="Arial"/>
                <w:b/>
                <w:bCs/>
                <w:color w:val="606060"/>
                <w:sz w:val="20"/>
                <w:szCs w:val="20"/>
              </w:rPr>
              <w:t>ABSTRACT BODY:</w:t>
            </w:r>
            <w:r w:rsidRPr="00E062BD">
              <w:rPr>
                <w:rFonts w:ascii="Arial" w:eastAsia="Times New Roman" w:hAnsi="Arial" w:cs="Arial"/>
                <w:b/>
                <w:bCs/>
                <w:color w:val="606060"/>
                <w:sz w:val="20"/>
                <w:szCs w:val="20"/>
              </w:rPr>
              <w:br/>
              <w:t>Abstract Body: 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  <w:u w:val="single"/>
              </w:rPr>
              <w:t>Introduction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: 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Forty percent of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CRC patients will fail, mostly within first two years following primary resection. E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arly detection of recurrent disease has been reported to improve </w:t>
            </w:r>
            <w:r w:rsidR="00034A03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the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ir </w:t>
            </w:r>
            <w:r w:rsidR="00034A03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survival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. The use of PET/CT during the follow-up process is </w:t>
            </w:r>
            <w:r w:rsidR="00A41E35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equivocally superior to contrast enhanced </w:t>
            </w:r>
            <w:r w:rsidR="00460EF4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CT.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This study is a comparison of CT vs. PET/CT.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  <w:u w:val="single"/>
              </w:rPr>
              <w:t>Methods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: 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Medical records of a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ll patients who had R0 radical colorectal surgery 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for Stage 1-3 disease</w:t>
            </w:r>
            <w:r w:rsidR="005B15D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between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1.2000 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and</w:t>
            </w:r>
            <w:r w:rsidR="005135FC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1.2016 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were </w:t>
            </w:r>
            <w:r w:rsidR="00460EF4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retrospectively reviewed. </w:t>
            </w:r>
            <w:proofErr w:type="gramStart"/>
            <w:r w:rsidR="00460EF4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All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patient</w:t>
            </w:r>
            <w:proofErr w:type="gramEnd"/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who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experienced recurrence and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had 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both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abdominal 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and/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or chest CT scans followed by PET/CT 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within 60 days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, were included in the study. A radiologist reviewed all images for disease recurrence. 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Findings </w:t>
            </w:r>
            <w:r w:rsidR="005B15D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consistent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with recurrent diseas</w:t>
            </w:r>
            <w:r w:rsidR="005B15D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e</w:t>
            </w:r>
            <w:r w:rsidR="005135FC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were compared between the two modalities. </w:t>
            </w:r>
          </w:p>
          <w:p w:rsidR="00460EF4" w:rsidRDefault="00E062BD" w:rsidP="00460EF4">
            <w:pPr>
              <w:bidi w:val="0"/>
              <w:spacing w:after="0" w:line="300" w:lineRule="atLeast"/>
              <w:rPr>
                <w:rFonts w:ascii="Arial" w:eastAsia="Times New Roman" w:hAnsi="Arial" w:cs="Arial"/>
                <w:color w:val="606060"/>
                <w:sz w:val="20"/>
                <w:szCs w:val="20"/>
              </w:rPr>
            </w:pP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  <w:u w:val="single"/>
              </w:rPr>
              <w:t>Results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: </w:t>
            </w:r>
            <w:r w:rsidR="001E1286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Of 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35 </w:t>
            </w:r>
            <w:r w:rsidR="00034A03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CT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images </w:t>
            </w:r>
            <w:r w:rsidR="001E1286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14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identified lung nodules; 10 of </w:t>
            </w:r>
            <w:r w:rsidR="001E1286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these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14 </w:t>
            </w:r>
            <w:r w:rsidR="001E1286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were confirmed malignant by FDG uptake.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.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9 </w:t>
            </w:r>
            <w:r w:rsidR="00034A03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CT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images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identified liver </w:t>
            </w:r>
            <w:r w:rsidR="00460EF4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lesions, all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  <w:r w:rsidR="001E1286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were called “cystic</w:t>
            </w:r>
            <w:r w:rsidR="00460EF4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”;</w:t>
            </w:r>
            <w:r w:rsidR="00460EF4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PET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/CT identified </w:t>
            </w:r>
            <w:r w:rsidR="001E1286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10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liver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  <w:r w:rsidR="00460EF4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cases;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6 of </w:t>
            </w:r>
            <w:r w:rsidR="001E1286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these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10 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cases</w:t>
            </w:r>
            <w:r w:rsidR="00034A03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  <w:r w:rsidR="001E1286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were called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disease recurrence to the </w:t>
            </w:r>
            <w:r w:rsidR="00460EF4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liver</w:t>
            </w:r>
            <w:r w:rsidR="00460EF4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. One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case </w:t>
            </w:r>
            <w:r w:rsidR="00F6182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was not demonstrated by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CT while PET/CT </w:t>
            </w:r>
            <w:r w:rsidR="00F6182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did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identif</w:t>
            </w:r>
            <w:r w:rsidR="00F6182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y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a disease recurrence </w:t>
            </w:r>
            <w:r w:rsidR="00F6182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in</w:t>
            </w:r>
            <w:r w:rsidR="00F61821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the liver. CT and PET/ CT both </w:t>
            </w:r>
            <w:r w:rsidR="00034A03"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identified 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7 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peritoneal </w:t>
            </w:r>
            <w:r w:rsidR="00460EF4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cases,</w:t>
            </w: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but only 3 cases; were FDG avid (see table). PET/CT identified </w:t>
            </w:r>
            <w:proofErr w:type="gramStart"/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all </w:t>
            </w:r>
            <w:r w:rsidR="00F6182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anastomotic</w:t>
            </w:r>
            <w:proofErr w:type="gramEnd"/>
            <w:r w:rsidR="00F6182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recurrences (N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=4), </w:t>
            </w:r>
            <w:r w:rsidR="00F6182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These were noted only </w:t>
            </w:r>
            <w:r w:rsidR="00034A03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3</w:t>
            </w:r>
            <w:r w:rsidR="00460EF4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  <w:r w:rsidR="00F6182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times on CT.</w:t>
            </w:r>
          </w:p>
          <w:p w:rsidR="00460EF4" w:rsidRDefault="00460EF4" w:rsidP="00460EF4">
            <w:pPr>
              <w:bidi w:val="0"/>
              <w:spacing w:after="0" w:line="300" w:lineRule="atLeast"/>
              <w:rPr>
                <w:rFonts w:ascii="Arial" w:eastAsia="Times New Roman" w:hAnsi="Arial" w:cs="Arial"/>
                <w:color w:val="60606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Conclusions:</w:t>
            </w:r>
          </w:p>
          <w:p w:rsidR="00460EF4" w:rsidRDefault="00460EF4" w:rsidP="00460EF4">
            <w:pPr>
              <w:bidi w:val="0"/>
              <w:spacing w:after="0" w:line="300" w:lineRule="atLeast"/>
              <w:rPr>
                <w:rFonts w:ascii="Arial" w:eastAsia="Times New Roman" w:hAnsi="Arial" w:cs="Arial"/>
                <w:color w:val="606060"/>
                <w:sz w:val="20"/>
                <w:szCs w:val="20"/>
              </w:rPr>
            </w:pP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A notable proportion of patients with negative findings on routine CT performed presented with a positive PET/CT</w:t>
            </w:r>
            <w:r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>.</w:t>
            </w:r>
          </w:p>
          <w:p w:rsidR="00460EF4" w:rsidRDefault="00460EF4" w:rsidP="00460EF4">
            <w:pPr>
              <w:bidi w:val="0"/>
              <w:spacing w:after="0" w:line="300" w:lineRule="atLeast"/>
              <w:rPr>
                <w:rFonts w:ascii="Arial" w:eastAsia="Times New Roman" w:hAnsi="Arial" w:cs="Arial"/>
                <w:color w:val="606060"/>
                <w:sz w:val="20"/>
                <w:szCs w:val="20"/>
              </w:rPr>
            </w:pP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PET/CT should be employed in the follow-up protocol and replaced the CT.</w:t>
            </w:r>
          </w:p>
          <w:p w:rsidR="002D2EA3" w:rsidRDefault="002D2EA3" w:rsidP="002D2EA3">
            <w:pPr>
              <w:bidi w:val="0"/>
              <w:spacing w:after="0" w:line="300" w:lineRule="atLeast"/>
              <w:rPr>
                <w:rFonts w:ascii="Arial" w:eastAsia="Times New Roman" w:hAnsi="Arial" w:cs="Arial"/>
                <w:color w:val="606060"/>
                <w:sz w:val="20"/>
                <w:szCs w:val="20"/>
              </w:rPr>
            </w:pPr>
          </w:p>
          <w:tbl>
            <w:tblPr>
              <w:bidiVisual/>
              <w:tblW w:w="8974" w:type="dxa"/>
              <w:tblCellMar>
                <w:left w:w="0" w:type="dxa"/>
                <w:right w:w="0" w:type="dxa"/>
              </w:tblCellMar>
              <w:tblLook w:val="0420" w:firstRow="1" w:lastRow="0" w:firstColumn="0" w:lastColumn="0" w:noHBand="0" w:noVBand="1"/>
            </w:tblPr>
            <w:tblGrid>
              <w:gridCol w:w="1777"/>
              <w:gridCol w:w="1622"/>
              <w:gridCol w:w="893"/>
              <w:gridCol w:w="949"/>
              <w:gridCol w:w="3733"/>
            </w:tblGrid>
            <w:tr w:rsidR="002D2EA3" w:rsidRPr="002D2EA3" w:rsidTr="002D2EA3">
              <w:trPr>
                <w:trHeight w:val="296"/>
              </w:trPr>
              <w:tc>
                <w:tcPr>
                  <w:tcW w:w="1538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5B9BD5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</w:pPr>
                  <w:r w:rsidRPr="002D2EA3">
                    <w:rPr>
                      <w:rFonts w:ascii="Arial" w:eastAsia="Times New Roman" w:hAnsi="Arial" w:cs="Arial"/>
                      <w:b/>
                      <w:bCs/>
                      <w:color w:val="606060"/>
                      <w:sz w:val="20"/>
                      <w:szCs w:val="20"/>
                    </w:rPr>
                    <w:t>COLON/ ANASTOMOSIS</w:t>
                  </w:r>
                </w:p>
              </w:tc>
              <w:tc>
                <w:tcPr>
                  <w:tcW w:w="1538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5B9BD5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b/>
                      <w:bCs/>
                      <w:color w:val="606060"/>
                      <w:sz w:val="20"/>
                      <w:szCs w:val="20"/>
                    </w:rPr>
                    <w:t>PERITONEUM</w:t>
                  </w:r>
                </w:p>
              </w:tc>
              <w:tc>
                <w:tcPr>
                  <w:tcW w:w="952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5B9BD5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b/>
                      <w:bCs/>
                      <w:color w:val="606060"/>
                      <w:sz w:val="20"/>
                      <w:szCs w:val="20"/>
                    </w:rPr>
                    <w:t>LIVER</w:t>
                  </w:r>
                </w:p>
              </w:tc>
              <w:tc>
                <w:tcPr>
                  <w:tcW w:w="1284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5B9BD5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b/>
                      <w:bCs/>
                      <w:color w:val="606060"/>
                      <w:sz w:val="20"/>
                      <w:szCs w:val="20"/>
                    </w:rPr>
                    <w:t>LUNG</w:t>
                  </w:r>
                </w:p>
              </w:tc>
              <w:tc>
                <w:tcPr>
                  <w:tcW w:w="3662" w:type="dxa"/>
                  <w:tcBorders>
                    <w:top w:val="single" w:sz="8" w:space="0" w:color="FFFFFF"/>
                    <w:left w:val="single" w:sz="8" w:space="0" w:color="FFFFFF"/>
                    <w:bottom w:val="single" w:sz="24" w:space="0" w:color="FFFFFF"/>
                    <w:right w:val="single" w:sz="8" w:space="0" w:color="FFFFFF"/>
                  </w:tcBorders>
                  <w:shd w:val="clear" w:color="auto" w:fill="5B9BD5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</w:p>
              </w:tc>
            </w:tr>
            <w:tr w:rsidR="002D2EA3" w:rsidRPr="002D2EA3" w:rsidTr="002D2EA3">
              <w:trPr>
                <w:trHeight w:val="296"/>
              </w:trPr>
              <w:tc>
                <w:tcPr>
                  <w:tcW w:w="1538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538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52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84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62" w:type="dxa"/>
                  <w:tcBorders>
                    <w:top w:val="single" w:sz="24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CT  FINDINGS(ABDOMEN/CHEST/BOTH)</w:t>
                  </w:r>
                </w:p>
              </w:tc>
            </w:tr>
            <w:tr w:rsidR="002D2EA3" w:rsidRPr="002D2EA3" w:rsidTr="002D2EA3">
              <w:trPr>
                <w:trHeight w:val="296"/>
              </w:trPr>
              <w:tc>
                <w:tcPr>
                  <w:tcW w:w="153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53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5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8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6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PET/CT WITH FDG uptake</w:t>
                  </w:r>
                </w:p>
              </w:tc>
            </w:tr>
            <w:tr w:rsidR="002D2EA3" w:rsidRPr="002D2EA3" w:rsidTr="002D2EA3">
              <w:trPr>
                <w:trHeight w:val="296"/>
              </w:trPr>
              <w:tc>
                <w:tcPr>
                  <w:tcW w:w="153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53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5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8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6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D2DEEF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  <w:r w:rsidRPr="002D2EA3"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  <w:t>PET/CT without FDG uptake</w:t>
                  </w:r>
                </w:p>
              </w:tc>
            </w:tr>
            <w:tr w:rsidR="002D2EA3" w:rsidRPr="002D2EA3" w:rsidTr="002D2EA3">
              <w:trPr>
                <w:trHeight w:val="296"/>
              </w:trPr>
              <w:tc>
                <w:tcPr>
                  <w:tcW w:w="153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1538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</w:pPr>
                </w:p>
              </w:tc>
              <w:tc>
                <w:tcPr>
                  <w:tcW w:w="95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</w:pPr>
                </w:p>
              </w:tc>
              <w:tc>
                <w:tcPr>
                  <w:tcW w:w="1284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</w:pPr>
                </w:p>
              </w:tc>
              <w:tc>
                <w:tcPr>
                  <w:tcW w:w="36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EAEFF7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:rsidR="002D2EA3" w:rsidRPr="002D2EA3" w:rsidRDefault="002D2EA3" w:rsidP="002D2EA3">
                  <w:pPr>
                    <w:bidi w:val="0"/>
                    <w:spacing w:after="0" w:line="300" w:lineRule="atLeast"/>
                    <w:rPr>
                      <w:rFonts w:ascii="Arial" w:eastAsia="Times New Roman" w:hAnsi="Arial" w:cs="Arial"/>
                      <w:color w:val="606060"/>
                      <w:sz w:val="20"/>
                      <w:szCs w:val="20"/>
                    </w:rPr>
                  </w:pPr>
                </w:p>
              </w:tc>
            </w:tr>
          </w:tbl>
          <w:p w:rsidR="002D2EA3" w:rsidRDefault="002D2EA3" w:rsidP="002D2EA3">
            <w:pPr>
              <w:bidi w:val="0"/>
              <w:spacing w:after="0" w:line="300" w:lineRule="atLeast"/>
              <w:rPr>
                <w:rFonts w:ascii="Arial" w:eastAsia="Times New Roman" w:hAnsi="Arial" w:cs="Arial"/>
                <w:color w:val="606060"/>
                <w:sz w:val="20"/>
                <w:szCs w:val="20"/>
              </w:rPr>
            </w:pPr>
          </w:p>
          <w:p w:rsidR="00E062BD" w:rsidRPr="00460EF4" w:rsidRDefault="00460EF4" w:rsidP="00460EF4">
            <w:pPr>
              <w:bidi w:val="0"/>
              <w:spacing w:after="0" w:line="300" w:lineRule="atLeast"/>
              <w:rPr>
                <w:rFonts w:ascii="Arial" w:eastAsia="Times New Roman" w:hAnsi="Arial" w:cs="Arial"/>
                <w:color w:val="606060"/>
                <w:sz w:val="20"/>
                <w:szCs w:val="20"/>
              </w:rPr>
            </w:pPr>
            <w:r w:rsidRPr="00E062BD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br/>
            </w:r>
            <w:r w:rsidR="00F61821">
              <w:rPr>
                <w:rFonts w:ascii="Arial" w:eastAsia="Times New Roman" w:hAnsi="Arial" w:cs="Arial"/>
                <w:color w:val="606060"/>
                <w:sz w:val="20"/>
                <w:szCs w:val="20"/>
              </w:rPr>
              <w:t xml:space="preserve"> </w:t>
            </w:r>
          </w:p>
        </w:tc>
      </w:tr>
    </w:tbl>
    <w:p w:rsidR="00CC5835" w:rsidRDefault="00CC5835" w:rsidP="00460EF4">
      <w:pPr>
        <w:rPr>
          <w:rFonts w:hint="cs"/>
          <w:rtl/>
        </w:rPr>
      </w:pPr>
      <w:bookmarkStart w:id="0" w:name="_GoBack"/>
      <w:bookmarkEnd w:id="0"/>
    </w:p>
    <w:p w:rsidR="00681D50" w:rsidRDefault="00CC5835" w:rsidP="00E062BD">
      <w:r>
        <w:t xml:space="preserve">                                                                                                                                                </w:t>
      </w:r>
    </w:p>
    <w:p w:rsidR="00E062BD" w:rsidRDefault="00E062BD" w:rsidP="00E062BD">
      <w:pPr>
        <w:rPr>
          <w:rtl/>
        </w:rPr>
      </w:pPr>
    </w:p>
    <w:p w:rsidR="00E062BD" w:rsidRPr="00E062BD" w:rsidRDefault="00E062BD" w:rsidP="00E062BD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062BD" w:rsidRPr="00E062BD" w:rsidRDefault="00E062BD" w:rsidP="00E062BD"/>
    <w:sectPr w:rsidR="00E062BD" w:rsidRPr="00E062BD" w:rsidSect="00422C8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BD"/>
    <w:rsid w:val="00034A03"/>
    <w:rsid w:val="001E1286"/>
    <w:rsid w:val="002D2EA3"/>
    <w:rsid w:val="00422C84"/>
    <w:rsid w:val="00460EF4"/>
    <w:rsid w:val="005135FC"/>
    <w:rsid w:val="005B15D1"/>
    <w:rsid w:val="00681D50"/>
    <w:rsid w:val="00A41E35"/>
    <w:rsid w:val="00CC5835"/>
    <w:rsid w:val="00D34BD4"/>
    <w:rsid w:val="00E062BD"/>
    <w:rsid w:val="00F6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3357F"/>
  <w15:docId w15:val="{F9364F54-C9E8-4100-8FEE-88774939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A41E35"/>
    <w:rPr>
      <w:rFonts w:ascii="Tahom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A41E3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41E35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semiHidden/>
    <w:rsid w:val="00A41E35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41E35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A41E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1828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maye mazareeb</dc:creator>
  <cp:lastModifiedBy>maye mazareeb</cp:lastModifiedBy>
  <cp:revision>2</cp:revision>
  <dcterms:created xsi:type="dcterms:W3CDTF">2019-12-31T22:01:00Z</dcterms:created>
  <dcterms:modified xsi:type="dcterms:W3CDTF">2019-12-31T22:01:00Z</dcterms:modified>
</cp:coreProperties>
</file>