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34DE" w:rsidRDefault="009034DE" w:rsidP="009034DE">
      <w:pPr>
        <w:bidi w:val="0"/>
        <w:spacing w:after="0" w:line="240" w:lineRule="auto"/>
        <w:jc w:val="center"/>
        <w:rPr>
          <w:rFonts w:asciiTheme="majorBidi" w:hAnsiTheme="majorBidi" w:cstheme="majorBidi"/>
          <w:b/>
          <w:bCs/>
          <w:color w:val="000000" w:themeColor="text1"/>
          <w:sz w:val="27"/>
          <w:szCs w:val="27"/>
        </w:rPr>
      </w:pPr>
      <w:r>
        <w:rPr>
          <w:rFonts w:asciiTheme="majorBidi" w:hAnsiTheme="majorBidi" w:cstheme="majorBidi"/>
          <w:b/>
          <w:bCs/>
          <w:color w:val="000000" w:themeColor="text1"/>
          <w:sz w:val="27"/>
          <w:szCs w:val="27"/>
        </w:rPr>
        <w:t xml:space="preserve">Total Expression of Human </w:t>
      </w:r>
      <w:proofErr w:type="spellStart"/>
      <w:r>
        <w:rPr>
          <w:rFonts w:asciiTheme="majorBidi" w:hAnsiTheme="majorBidi" w:cstheme="majorBidi"/>
          <w:b/>
          <w:bCs/>
          <w:color w:val="000000" w:themeColor="text1"/>
          <w:sz w:val="27"/>
          <w:szCs w:val="27"/>
        </w:rPr>
        <w:t>Leucocyte</w:t>
      </w:r>
      <w:proofErr w:type="spellEnd"/>
      <w:r>
        <w:rPr>
          <w:rFonts w:asciiTheme="majorBidi" w:hAnsiTheme="majorBidi" w:cstheme="majorBidi"/>
          <w:b/>
          <w:bCs/>
          <w:color w:val="000000" w:themeColor="text1"/>
          <w:sz w:val="27"/>
          <w:szCs w:val="27"/>
        </w:rPr>
        <w:t xml:space="preserve"> Antigen-G and Toll-Like Receptor-9 in B-cell Chronic Lymphocytic Leukemia Patients: Relationship to Prognostic Markers</w:t>
      </w:r>
    </w:p>
    <w:p w:rsidR="009034DE" w:rsidRDefault="009034DE" w:rsidP="009034DE">
      <w:pPr>
        <w:bidi w:val="0"/>
        <w:spacing w:after="0" w:line="240" w:lineRule="auto"/>
        <w:jc w:val="center"/>
        <w:rPr>
          <w:rFonts w:asciiTheme="majorBidi" w:hAnsiTheme="majorBidi" w:cstheme="majorBidi"/>
          <w:b/>
          <w:bCs/>
          <w:color w:val="000000" w:themeColor="text1"/>
          <w:sz w:val="27"/>
          <w:szCs w:val="27"/>
        </w:rPr>
      </w:pPr>
    </w:p>
    <w:p w:rsidR="009034DE" w:rsidRDefault="009034DE" w:rsidP="009034DE">
      <w:pPr>
        <w:bidi w:val="0"/>
        <w:spacing w:line="360" w:lineRule="auto"/>
        <w:jc w:val="center"/>
        <w:rPr>
          <w:rFonts w:asciiTheme="majorBidi" w:hAnsiTheme="majorBidi" w:cstheme="majorBidi"/>
          <w:b/>
          <w:bCs/>
          <w:color w:val="000000" w:themeColor="text1"/>
          <w:sz w:val="24"/>
          <w:szCs w:val="24"/>
        </w:rPr>
      </w:pPr>
    </w:p>
    <w:p w:rsidR="009034DE" w:rsidRDefault="009034DE" w:rsidP="009034DE">
      <w:pPr>
        <w:bidi w:val="0"/>
        <w:spacing w:line="360" w:lineRule="auto"/>
        <w:jc w:val="center"/>
        <w:rPr>
          <w:rFonts w:asciiTheme="majorBidi" w:hAnsiTheme="majorBidi" w:cstheme="majorBidi"/>
          <w:b/>
          <w:bCs/>
          <w:color w:val="000000" w:themeColor="text1"/>
          <w:sz w:val="24"/>
          <w:szCs w:val="24"/>
        </w:rPr>
      </w:pPr>
      <w:r>
        <w:rPr>
          <w:rFonts w:asciiTheme="majorBidi" w:hAnsiTheme="majorBidi" w:cstheme="majorBidi"/>
          <w:b/>
          <w:bCs/>
          <w:color w:val="000000" w:themeColor="text1"/>
          <w:sz w:val="24"/>
          <w:szCs w:val="24"/>
        </w:rPr>
        <w:t>Abstract</w:t>
      </w:r>
    </w:p>
    <w:p w:rsidR="009034DE" w:rsidRDefault="009034DE" w:rsidP="009034DE">
      <w:pPr>
        <w:bidi w:val="0"/>
        <w:spacing w:line="360" w:lineRule="auto"/>
        <w:jc w:val="both"/>
        <w:rPr>
          <w:rFonts w:asciiTheme="majorBidi" w:hAnsiTheme="majorBidi" w:cstheme="majorBidi"/>
          <w:color w:val="000000" w:themeColor="text1"/>
          <w:sz w:val="24"/>
          <w:szCs w:val="24"/>
          <w:lang w:bidi="ar-EG"/>
        </w:rPr>
      </w:pPr>
      <w:r>
        <w:rPr>
          <w:rFonts w:asciiTheme="majorBidi" w:hAnsiTheme="majorBidi" w:cstheme="majorBidi"/>
          <w:b/>
          <w:bCs/>
          <w:color w:val="000000" w:themeColor="text1"/>
          <w:sz w:val="24"/>
          <w:szCs w:val="24"/>
        </w:rPr>
        <w:t>Introduction</w:t>
      </w:r>
      <w:r>
        <w:rPr>
          <w:rFonts w:asciiTheme="majorBidi" w:hAnsiTheme="majorBidi" w:cstheme="majorBidi"/>
          <w:color w:val="000000" w:themeColor="text1"/>
          <w:sz w:val="24"/>
          <w:szCs w:val="24"/>
        </w:rPr>
        <w:t>:</w:t>
      </w:r>
      <w:r>
        <w:rPr>
          <w:rFonts w:asciiTheme="majorBidi" w:hAnsiTheme="majorBidi" w:cstheme="majorBidi"/>
          <w:b/>
          <w:bCs/>
          <w:color w:val="000000" w:themeColor="text1"/>
          <w:sz w:val="24"/>
          <w:szCs w:val="24"/>
        </w:rPr>
        <w:t xml:space="preserve"> </w:t>
      </w:r>
      <w:r>
        <w:rPr>
          <w:rFonts w:asciiTheme="majorBidi" w:hAnsiTheme="majorBidi" w:cstheme="majorBidi"/>
          <w:sz w:val="24"/>
          <w:szCs w:val="24"/>
        </w:rPr>
        <w:t xml:space="preserve">In CLL patients, immune escape mechanisms allow leukemia cells to proliferate and expand. Human leukocyte antigen G (HLA-G) is a further strategy adopted by CLL cells to evade immune defenses and to create protected niches where to grow and expand. Toll-like receptors (TLRs) represent major agents of innate immunity and initiators of adaptive immunity. It has been suggested that the stimulation of TLRs expressed on CLL cells could increase immunogenicity of tumor </w:t>
      </w:r>
      <w:proofErr w:type="gramStart"/>
      <w:r>
        <w:rPr>
          <w:rFonts w:asciiTheme="majorBidi" w:hAnsiTheme="majorBidi" w:cstheme="majorBidi"/>
          <w:sz w:val="24"/>
          <w:szCs w:val="24"/>
        </w:rPr>
        <w:t>cells</w:t>
      </w:r>
      <w:proofErr w:type="gramEnd"/>
      <w:r>
        <w:rPr>
          <w:rFonts w:asciiTheme="majorBidi" w:hAnsiTheme="majorBidi" w:cstheme="majorBidi"/>
          <w:sz w:val="24"/>
          <w:szCs w:val="24"/>
        </w:rPr>
        <w:t xml:space="preserve"> and thus potentially contribute to the induction of tumor-specific immune response. We </w:t>
      </w:r>
      <w:r>
        <w:rPr>
          <w:rFonts w:asciiTheme="majorBidi" w:hAnsiTheme="majorBidi" w:cstheme="majorBidi"/>
          <w:color w:val="000000" w:themeColor="text1"/>
          <w:sz w:val="24"/>
          <w:szCs w:val="24"/>
          <w:lang w:bidi="ar-EG"/>
        </w:rPr>
        <w:t>study the total expression of HLA-G and TLR-9 in CLL patients, evaluating their relationships with other well established clinical and possible laboratory prognostic markers.</w:t>
      </w:r>
    </w:p>
    <w:p w:rsidR="009034DE" w:rsidRDefault="009034DE" w:rsidP="009034DE">
      <w:pPr>
        <w:bidi w:val="0"/>
        <w:spacing w:line="360" w:lineRule="auto"/>
        <w:jc w:val="both"/>
        <w:rPr>
          <w:rFonts w:asciiTheme="majorBidi" w:hAnsiTheme="majorBidi" w:cstheme="majorBidi"/>
          <w:color w:val="000000" w:themeColor="text1"/>
          <w:sz w:val="24"/>
          <w:szCs w:val="24"/>
          <w:lang w:bidi="ar-EG"/>
        </w:rPr>
      </w:pPr>
      <w:r>
        <w:rPr>
          <w:rFonts w:asciiTheme="majorBidi" w:hAnsiTheme="majorBidi" w:cstheme="majorBidi"/>
          <w:b/>
          <w:bCs/>
          <w:color w:val="000000" w:themeColor="text1"/>
          <w:sz w:val="24"/>
          <w:szCs w:val="24"/>
        </w:rPr>
        <w:t>Methods</w:t>
      </w:r>
      <w:r>
        <w:rPr>
          <w:rFonts w:asciiTheme="majorBidi" w:hAnsiTheme="majorBidi" w:cstheme="majorBidi"/>
          <w:color w:val="000000" w:themeColor="text1"/>
          <w:sz w:val="24"/>
          <w:szCs w:val="24"/>
        </w:rPr>
        <w:t>:</w:t>
      </w:r>
      <w:r>
        <w:rPr>
          <w:rFonts w:asciiTheme="majorBidi" w:hAnsiTheme="majorBidi" w:cstheme="majorBidi"/>
          <w:color w:val="000000" w:themeColor="text1"/>
          <w:sz w:val="24"/>
          <w:szCs w:val="24"/>
          <w:lang w:bidi="ar-EG"/>
        </w:rPr>
        <w:t xml:space="preserve"> </w:t>
      </w:r>
      <w:r>
        <w:rPr>
          <w:rFonts w:asciiTheme="majorBidi" w:eastAsia="Times New Roman" w:hAnsiTheme="majorBidi" w:cstheme="majorBidi"/>
          <w:sz w:val="24"/>
          <w:szCs w:val="24"/>
        </w:rPr>
        <w:t>This study enrolled 40 CLL patients selected from the Hematology Department of the medical research institut</w:t>
      </w:r>
      <w:r w:rsidR="00F4681B">
        <w:rPr>
          <w:rFonts w:asciiTheme="majorBidi" w:eastAsia="Times New Roman" w:hAnsiTheme="majorBidi" w:cstheme="majorBidi"/>
          <w:sz w:val="24"/>
          <w:szCs w:val="24"/>
        </w:rPr>
        <w:t>e and Alexandria Main Hospital.</w:t>
      </w:r>
      <w:r>
        <w:rPr>
          <w:rFonts w:asciiTheme="majorBidi" w:eastAsia="Times New Roman" w:hAnsiTheme="majorBidi" w:cstheme="majorBidi"/>
          <w:sz w:val="24"/>
          <w:szCs w:val="24"/>
        </w:rPr>
        <w:t xml:space="preserve">In addition to </w:t>
      </w:r>
      <w:r>
        <w:rPr>
          <w:rFonts w:ascii="Times New Roman" w:eastAsia="SimSun" w:hAnsi="Times New Roman" w:cs="Times New Roman"/>
          <w:sz w:val="24"/>
          <w:szCs w:val="24"/>
          <w:lang w:eastAsia="zh-CN"/>
        </w:rPr>
        <w:t>20 healthy subjects matched by age and sex.</w:t>
      </w:r>
    </w:p>
    <w:p w:rsidR="009034DE" w:rsidRDefault="009034DE" w:rsidP="009034DE">
      <w:pPr>
        <w:bidi w:val="0"/>
        <w:spacing w:line="360" w:lineRule="auto"/>
        <w:jc w:val="both"/>
        <w:rPr>
          <w:rFonts w:asciiTheme="majorBidi" w:hAnsiTheme="majorBidi" w:cstheme="majorBidi"/>
          <w:color w:val="000000" w:themeColor="text1"/>
          <w:sz w:val="24"/>
          <w:szCs w:val="24"/>
          <w:lang w:bidi="ar-EG"/>
        </w:rPr>
      </w:pPr>
      <w:r>
        <w:rPr>
          <w:rFonts w:asciiTheme="majorBidi" w:hAnsiTheme="majorBidi" w:cstheme="majorBidi"/>
          <w:b/>
          <w:bCs/>
          <w:color w:val="000000" w:themeColor="text1"/>
          <w:sz w:val="24"/>
          <w:szCs w:val="24"/>
        </w:rPr>
        <w:t>Results</w:t>
      </w:r>
      <w:r>
        <w:rPr>
          <w:rFonts w:asciiTheme="majorBidi" w:hAnsiTheme="majorBidi" w:cstheme="majorBidi"/>
          <w:color w:val="000000" w:themeColor="text1"/>
          <w:sz w:val="24"/>
          <w:szCs w:val="24"/>
        </w:rPr>
        <w:t>:</w:t>
      </w:r>
      <w:r>
        <w:rPr>
          <w:rFonts w:asciiTheme="majorBidi" w:hAnsiTheme="majorBidi" w:cstheme="majorBidi"/>
          <w:color w:val="000000" w:themeColor="text1"/>
        </w:rPr>
        <w:t xml:space="preserve"> </w:t>
      </w:r>
      <w:r>
        <w:rPr>
          <w:rFonts w:asciiTheme="majorBidi" w:hAnsiTheme="majorBidi" w:cstheme="majorBidi"/>
          <w:color w:val="000000" w:themeColor="text1"/>
          <w:sz w:val="24"/>
          <w:szCs w:val="24"/>
          <w:lang w:bidi="ar-EG"/>
        </w:rPr>
        <w:t>In CLL patients, HLA-G showed significant negative correlation to TLR-9 and both of them showed significant association with disease stage and prognostic index.</w:t>
      </w:r>
    </w:p>
    <w:p w:rsidR="009034DE" w:rsidRDefault="009034DE" w:rsidP="009034DE">
      <w:pPr>
        <w:bidi w:val="0"/>
        <w:spacing w:line="360" w:lineRule="auto"/>
        <w:jc w:val="both"/>
        <w:rPr>
          <w:rFonts w:asciiTheme="majorBidi" w:hAnsiTheme="majorBidi" w:cstheme="majorBidi"/>
          <w:color w:val="000000" w:themeColor="text1"/>
          <w:sz w:val="24"/>
          <w:szCs w:val="24"/>
          <w:lang w:bidi="ar-EG"/>
        </w:rPr>
      </w:pPr>
      <w:r>
        <w:rPr>
          <w:rFonts w:asciiTheme="majorBidi" w:hAnsiTheme="majorBidi" w:cstheme="majorBidi"/>
          <w:b/>
          <w:bCs/>
          <w:color w:val="000000" w:themeColor="text1"/>
          <w:sz w:val="24"/>
          <w:szCs w:val="24"/>
        </w:rPr>
        <w:t>Conclusion</w:t>
      </w:r>
      <w:r>
        <w:rPr>
          <w:rFonts w:asciiTheme="majorBidi" w:hAnsiTheme="majorBidi" w:cstheme="majorBidi"/>
          <w:color w:val="000000" w:themeColor="text1"/>
          <w:sz w:val="24"/>
          <w:szCs w:val="24"/>
          <w:lang w:bidi="ar-EG"/>
        </w:rPr>
        <w:t xml:space="preserve">: </w:t>
      </w:r>
      <w:r>
        <w:rPr>
          <w:rFonts w:asciiTheme="majorBidi" w:hAnsiTheme="majorBidi" w:cstheme="majorBidi"/>
          <w:sz w:val="24"/>
          <w:szCs w:val="24"/>
        </w:rPr>
        <w:t xml:space="preserve">This study concluded that expression of HLA-G and TLR-9 could have a prognostic value in CLL patients. </w:t>
      </w:r>
      <w:proofErr w:type="gramStart"/>
      <w:r>
        <w:rPr>
          <w:rFonts w:asciiTheme="majorBidi" w:hAnsiTheme="majorBidi" w:cstheme="majorBidi"/>
          <w:sz w:val="24"/>
          <w:szCs w:val="24"/>
        </w:rPr>
        <w:t>The higher HLA-G expression, the lower TLR-9 expression, the worst the outcome.</w:t>
      </w:r>
      <w:proofErr w:type="gramEnd"/>
      <w:r>
        <w:rPr>
          <w:rFonts w:asciiTheme="majorBidi" w:hAnsiTheme="majorBidi" w:cstheme="majorBidi"/>
          <w:sz w:val="24"/>
          <w:szCs w:val="24"/>
        </w:rPr>
        <w:t xml:space="preserve"> The use of HLA-G and/or TLR-9 as markers for new targeted therapy in CLL could be valuable.</w:t>
      </w:r>
    </w:p>
    <w:p w:rsidR="009034DE" w:rsidRDefault="009034DE" w:rsidP="009034DE">
      <w:pPr>
        <w:bidi w:val="0"/>
        <w:rPr>
          <w:rFonts w:asciiTheme="majorBidi" w:hAnsiTheme="majorBidi" w:cstheme="majorBidi"/>
          <w:color w:val="000000" w:themeColor="text1"/>
          <w:sz w:val="24"/>
          <w:szCs w:val="24"/>
          <w:lang w:bidi="ar-EG"/>
        </w:rPr>
      </w:pPr>
      <w:r>
        <w:rPr>
          <w:rFonts w:asciiTheme="majorBidi" w:hAnsiTheme="majorBidi" w:cstheme="majorBidi"/>
          <w:b/>
          <w:bCs/>
          <w:color w:val="000000" w:themeColor="text1"/>
          <w:sz w:val="24"/>
          <w:szCs w:val="24"/>
          <w:lang w:bidi="ar-EG"/>
        </w:rPr>
        <w:t>Key words</w:t>
      </w:r>
      <w:r>
        <w:rPr>
          <w:rFonts w:asciiTheme="majorBidi" w:hAnsiTheme="majorBidi" w:cstheme="majorBidi"/>
          <w:color w:val="000000" w:themeColor="text1"/>
          <w:sz w:val="24"/>
          <w:szCs w:val="24"/>
          <w:lang w:bidi="ar-EG"/>
        </w:rPr>
        <w:t>: HLA-G, TLR-9, B-CLL, ZAP-70, Prognostic, Correlation.</w:t>
      </w:r>
    </w:p>
    <w:p w:rsidR="009034DE" w:rsidRDefault="009034DE" w:rsidP="009034DE">
      <w:pPr>
        <w:bidi w:val="0"/>
        <w:spacing w:after="0" w:line="360" w:lineRule="auto"/>
        <w:jc w:val="center"/>
        <w:rPr>
          <w:rFonts w:asciiTheme="majorBidi" w:hAnsiTheme="majorBidi" w:cstheme="majorBidi"/>
          <w:color w:val="000000" w:themeColor="text1"/>
          <w:sz w:val="20"/>
          <w:szCs w:val="20"/>
        </w:rPr>
      </w:pPr>
    </w:p>
    <w:p w:rsidR="00331A9D" w:rsidRPr="009034DE" w:rsidRDefault="00331A9D">
      <w:pPr>
        <w:rPr>
          <w:lang w:bidi="ar-EG"/>
        </w:rPr>
      </w:pPr>
    </w:p>
    <w:sectPr w:rsidR="00331A9D" w:rsidRPr="009034DE" w:rsidSect="004D4ECB">
      <w:pgSz w:w="11906" w:h="16838"/>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9034DE"/>
    <w:rsid w:val="00331A9D"/>
    <w:rsid w:val="004D4ECB"/>
    <w:rsid w:val="009034DE"/>
    <w:rsid w:val="00F4681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4ECB"/>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73224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245</Words>
  <Characters>1402</Characters>
  <Application>Microsoft Office Word</Application>
  <DocSecurity>0</DocSecurity>
  <Lines>11</Lines>
  <Paragraphs>3</Paragraphs>
  <ScaleCrop>false</ScaleCrop>
  <Company/>
  <LinksUpToDate>false</LinksUpToDate>
  <CharactersWithSpaces>1644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taker</dc:creator>
  <cp:keywords/>
  <dc:description/>
  <cp:lastModifiedBy>Reem</cp:lastModifiedBy>
  <cp:revision>5</cp:revision>
  <dcterms:created xsi:type="dcterms:W3CDTF">2018-09-18T13:25:00Z</dcterms:created>
  <dcterms:modified xsi:type="dcterms:W3CDTF">2018-11-26T20:02:00Z</dcterms:modified>
</cp:coreProperties>
</file>