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7A9" w:rsidRDefault="004E2451" w:rsidP="004E2451">
      <w:pPr>
        <w:jc w:val="center"/>
        <w:rPr>
          <w:rFonts w:ascii="Minion Pro" w:eastAsia="Minion Pro" w:hAnsi="Minion Pro" w:cs="Minion Pro"/>
          <w:b/>
          <w:bCs/>
          <w:color w:val="337AB7"/>
          <w:sz w:val="36"/>
          <w:szCs w:val="36"/>
        </w:rPr>
      </w:pPr>
      <w:proofErr w:type="gramStart"/>
      <w:r w:rsidRPr="004E2451">
        <w:rPr>
          <w:rFonts w:ascii="Minion Pro" w:eastAsia="Minion Pro" w:hAnsi="Minion Pro" w:cs="Minion Pro"/>
          <w:b/>
          <w:bCs/>
          <w:color w:val="337AB7"/>
          <w:sz w:val="36"/>
          <w:szCs w:val="36"/>
        </w:rPr>
        <w:t xml:space="preserve">Evaluation of the toxicity of conformal radiotherapy in non-metastatic prostate cancer at the EHS in oncology Emir </w:t>
      </w:r>
      <w:proofErr w:type="spellStart"/>
      <w:r w:rsidRPr="004E2451">
        <w:rPr>
          <w:rFonts w:ascii="Minion Pro" w:eastAsia="Minion Pro" w:hAnsi="Minion Pro" w:cs="Minion Pro"/>
          <w:b/>
          <w:bCs/>
          <w:color w:val="337AB7"/>
          <w:sz w:val="36"/>
          <w:szCs w:val="36"/>
        </w:rPr>
        <w:t>Abdelkader</w:t>
      </w:r>
      <w:proofErr w:type="spellEnd"/>
      <w:r w:rsidRPr="004E2451">
        <w:rPr>
          <w:rFonts w:ascii="Minion Pro" w:eastAsia="Minion Pro" w:hAnsi="Minion Pro" w:cs="Minion Pro"/>
          <w:b/>
          <w:bCs/>
          <w:color w:val="337AB7"/>
          <w:sz w:val="36"/>
          <w:szCs w:val="36"/>
        </w:rPr>
        <w:t xml:space="preserve"> Oran.</w:t>
      </w:r>
      <w:proofErr w:type="gramEnd"/>
      <w:r w:rsidRPr="004E2451">
        <w:rPr>
          <w:rFonts w:ascii="Minion Pro" w:eastAsia="Minion Pro" w:hAnsi="Minion Pro" w:cs="Minion Pro"/>
          <w:b/>
          <w:bCs/>
          <w:color w:val="337AB7"/>
          <w:sz w:val="36"/>
          <w:szCs w:val="36"/>
        </w:rPr>
        <w:t xml:space="preserve"> Algeria </w:t>
      </w:r>
    </w:p>
    <w:p w:rsidR="009767A9" w:rsidRDefault="009767A9" w:rsidP="009767A9">
      <w:pPr>
        <w:jc w:val="center"/>
        <w:rPr>
          <w:rFonts w:ascii="Minion Pro" w:eastAsia="Minion Pro" w:hAnsi="Minion Pro" w:cs="Minion Pro"/>
          <w:b/>
          <w:bCs/>
          <w:color w:val="337AB7"/>
          <w:sz w:val="36"/>
          <w:szCs w:val="36"/>
        </w:rPr>
      </w:pPr>
    </w:p>
    <w:p w:rsidR="009767A9" w:rsidRPr="009767A9" w:rsidRDefault="009767A9" w:rsidP="009767A9">
      <w:pPr>
        <w:pStyle w:val="Corpsdetexte"/>
        <w:tabs>
          <w:tab w:val="left" w:pos="8732"/>
        </w:tabs>
        <w:rPr>
          <w:rFonts w:eastAsia="MS PGothic" w:hAnsi="Arial"/>
          <w:color w:val="000000"/>
          <w:sz w:val="22"/>
          <w:szCs w:val="22"/>
        </w:rPr>
      </w:pPr>
      <w:r>
        <w:rPr>
          <w:rFonts w:eastAsia="MS PGothic" w:hAnsi="Arial"/>
          <w:color w:val="000000"/>
          <w:sz w:val="22"/>
          <w:szCs w:val="22"/>
        </w:rPr>
        <w:t>TALEB Lotfi</w:t>
      </w:r>
      <w:r>
        <w:rPr>
          <w:rFonts w:eastAsia="MS PGothic" w:hAnsi="Arial"/>
          <w:color w:val="000000"/>
          <w:sz w:val="22"/>
          <w:szCs w:val="22"/>
          <w:vertAlign w:val="superscript"/>
        </w:rPr>
        <w:t>1.</w:t>
      </w:r>
      <w:r w:rsidRPr="009767A9">
        <w:rPr>
          <w:rFonts w:eastAsia="MS PGothic" w:hAnsi="Arial"/>
          <w:color w:val="000000"/>
          <w:sz w:val="22"/>
          <w:szCs w:val="22"/>
          <w:vertAlign w:val="superscript"/>
        </w:rPr>
        <w:t>2</w:t>
      </w:r>
      <w:r w:rsidRPr="009767A9">
        <w:rPr>
          <w:rFonts w:eastAsia="MS PGothic" w:hAnsi="Arial"/>
          <w:color w:val="000000"/>
          <w:sz w:val="22"/>
          <w:szCs w:val="22"/>
        </w:rPr>
        <w:t xml:space="preserve">, </w:t>
      </w:r>
      <w:r>
        <w:rPr>
          <w:rFonts w:eastAsia="MS PGothic" w:hAnsi="Arial"/>
          <w:color w:val="000000"/>
          <w:sz w:val="22"/>
          <w:szCs w:val="22"/>
        </w:rPr>
        <w:t xml:space="preserve">BENARBIA </w:t>
      </w:r>
      <w:proofErr w:type="gramStart"/>
      <w:r>
        <w:rPr>
          <w:rFonts w:eastAsia="MS PGothic" w:hAnsi="Arial"/>
          <w:color w:val="000000"/>
          <w:sz w:val="22"/>
          <w:szCs w:val="22"/>
        </w:rPr>
        <w:t>Mahieddine</w:t>
      </w:r>
      <w:r>
        <w:rPr>
          <w:rFonts w:eastAsia="MS PGothic" w:hAnsi="Arial"/>
          <w:color w:val="000000"/>
          <w:sz w:val="22"/>
          <w:szCs w:val="22"/>
          <w:vertAlign w:val="superscript"/>
        </w:rPr>
        <w:t>1.2</w:t>
      </w:r>
      <w:r>
        <w:rPr>
          <w:rFonts w:eastAsia="MS PGothic" w:hAnsi="Arial"/>
          <w:color w:val="000000"/>
          <w:sz w:val="22"/>
          <w:szCs w:val="22"/>
        </w:rPr>
        <w:t xml:space="preserve"> ,</w:t>
      </w:r>
      <w:proofErr w:type="gramEnd"/>
      <w:r>
        <w:rPr>
          <w:rFonts w:eastAsia="MS PGothic" w:hAnsi="Arial"/>
          <w:color w:val="000000"/>
          <w:sz w:val="22"/>
          <w:szCs w:val="22"/>
        </w:rPr>
        <w:t xml:space="preserve"> BOUKERCHE Abdelbaki</w:t>
      </w:r>
      <w:r>
        <w:rPr>
          <w:rFonts w:eastAsia="MS PGothic" w:hAnsi="Arial"/>
          <w:color w:val="000000"/>
          <w:sz w:val="22"/>
          <w:szCs w:val="22"/>
          <w:vertAlign w:val="superscript"/>
        </w:rPr>
        <w:t>1.2</w:t>
      </w:r>
      <w:r w:rsidRPr="009767A9">
        <w:rPr>
          <w:rFonts w:eastAsia="MS PGothic" w:hAnsi="Arial"/>
          <w:color w:val="000000"/>
          <w:sz w:val="22"/>
          <w:szCs w:val="22"/>
        </w:rPr>
        <w:t xml:space="preserve"> </w:t>
      </w:r>
    </w:p>
    <w:p w:rsidR="009767A9" w:rsidRPr="009767A9" w:rsidRDefault="009767A9" w:rsidP="009767A9">
      <w:pPr>
        <w:pStyle w:val="Corpsdetexte"/>
        <w:tabs>
          <w:tab w:val="left" w:pos="8732"/>
        </w:tabs>
        <w:rPr>
          <w:rFonts w:eastAsia="MS PGothic" w:hAnsi="Arial"/>
          <w:color w:val="000000"/>
          <w:sz w:val="22"/>
          <w:szCs w:val="22"/>
        </w:rPr>
      </w:pPr>
      <w:r w:rsidRPr="009767A9">
        <w:rPr>
          <w:rFonts w:eastAsia="MS PGothic" w:hAnsi="Arial"/>
          <w:color w:val="000000"/>
          <w:sz w:val="22"/>
          <w:szCs w:val="22"/>
        </w:rPr>
        <w:t xml:space="preserve"> 1:</w:t>
      </w:r>
      <w:r>
        <w:rPr>
          <w:rFonts w:eastAsia="MS PGothic" w:hAnsi="Arial"/>
          <w:color w:val="000000"/>
          <w:sz w:val="22"/>
          <w:szCs w:val="22"/>
        </w:rPr>
        <w:t xml:space="preserve"> </w:t>
      </w:r>
      <w:r w:rsidRPr="009767A9">
        <w:rPr>
          <w:rFonts w:eastAsia="MS PGothic" w:hAnsi="Arial"/>
          <w:color w:val="000000"/>
          <w:sz w:val="22"/>
          <w:szCs w:val="22"/>
        </w:rPr>
        <w:t xml:space="preserve">Department of radiotherapy Emir </w:t>
      </w:r>
      <w:proofErr w:type="spellStart"/>
      <w:r w:rsidRPr="009767A9">
        <w:rPr>
          <w:rFonts w:eastAsia="MS PGothic" w:hAnsi="Arial"/>
          <w:color w:val="000000"/>
          <w:sz w:val="22"/>
          <w:szCs w:val="22"/>
        </w:rPr>
        <w:t>Abedlkader</w:t>
      </w:r>
      <w:proofErr w:type="spellEnd"/>
      <w:r w:rsidRPr="009767A9">
        <w:rPr>
          <w:rFonts w:eastAsia="MS PGothic" w:hAnsi="Arial"/>
          <w:color w:val="000000"/>
          <w:sz w:val="22"/>
          <w:szCs w:val="22"/>
        </w:rPr>
        <w:t xml:space="preserve"> Oran,</w:t>
      </w:r>
    </w:p>
    <w:p w:rsidR="00AE3E37" w:rsidRDefault="009767A9" w:rsidP="009767A9">
      <w:pPr>
        <w:pStyle w:val="Corpsdetexte"/>
        <w:tabs>
          <w:tab w:val="left" w:pos="8732"/>
        </w:tabs>
        <w:rPr>
          <w:rFonts w:ascii="Arial"/>
          <w:sz w:val="20"/>
        </w:rPr>
      </w:pPr>
      <w:r>
        <w:rPr>
          <w:rFonts w:eastAsia="MS PGothic" w:hAnsi="Arial"/>
          <w:color w:val="000000"/>
          <w:sz w:val="22"/>
          <w:szCs w:val="22"/>
        </w:rPr>
        <w:t xml:space="preserve"> </w:t>
      </w:r>
      <w:r w:rsidRPr="009767A9">
        <w:rPr>
          <w:rFonts w:eastAsia="MS PGothic" w:hAnsi="Arial"/>
          <w:color w:val="000000"/>
          <w:sz w:val="22"/>
          <w:szCs w:val="22"/>
        </w:rPr>
        <w:t xml:space="preserve">2: </w:t>
      </w:r>
      <w:proofErr w:type="gramStart"/>
      <w:r w:rsidRPr="009767A9">
        <w:rPr>
          <w:rFonts w:eastAsia="MS PGothic" w:hAnsi="Arial"/>
          <w:color w:val="000000"/>
          <w:sz w:val="22"/>
          <w:szCs w:val="22"/>
        </w:rPr>
        <w:t>Medical college</w:t>
      </w:r>
      <w:proofErr w:type="gramEnd"/>
      <w:r w:rsidRPr="009767A9">
        <w:rPr>
          <w:rFonts w:eastAsia="MS PGothic" w:hAnsi="Arial"/>
          <w:color w:val="000000"/>
          <w:sz w:val="22"/>
          <w:szCs w:val="22"/>
        </w:rPr>
        <w:t>, University Oran 1, Algeria</w:t>
      </w:r>
      <w:r w:rsidR="00022BE5">
        <w:rPr>
          <w:rFonts w:ascii="Arial"/>
          <w:sz w:val="20"/>
        </w:rPr>
        <w:tab/>
      </w:r>
    </w:p>
    <w:p w:rsidR="00AE3E37" w:rsidRDefault="00AE3E37">
      <w:pPr>
        <w:pStyle w:val="Corpsdetexte"/>
        <w:spacing w:before="3"/>
        <w:rPr>
          <w:rFonts w:ascii="Arial"/>
          <w:sz w:val="21"/>
        </w:rPr>
      </w:pPr>
    </w:p>
    <w:p w:rsidR="00AE3E37" w:rsidRDefault="00AE3E37">
      <w:pPr>
        <w:rPr>
          <w:rFonts w:ascii="Arial"/>
          <w:sz w:val="21"/>
        </w:rPr>
        <w:sectPr w:rsidR="00AE3E37" w:rsidSect="006A50CB">
          <w:footerReference w:type="default" r:id="rId8"/>
          <w:type w:val="continuous"/>
          <w:pgSz w:w="11910" w:h="16840"/>
          <w:pgMar w:top="304" w:right="600" w:bottom="840" w:left="620" w:header="541" w:footer="642" w:gutter="0"/>
          <w:cols w:space="720"/>
        </w:sectPr>
      </w:pPr>
    </w:p>
    <w:p w:rsidR="004E2451" w:rsidRPr="004E2451" w:rsidRDefault="009767A9" w:rsidP="004E2451">
      <w:pPr>
        <w:pStyle w:val="Corpsdetexte"/>
        <w:spacing w:before="90" w:line="280" w:lineRule="auto"/>
        <w:ind w:left="100"/>
        <w:jc w:val="both"/>
        <w:rPr>
          <w:rFonts w:ascii="Arial" w:eastAsia="Arial" w:hAnsi="Arial" w:cs="Arial"/>
          <w:sz w:val="20"/>
          <w:szCs w:val="20"/>
        </w:rPr>
      </w:pPr>
      <w:r w:rsidRPr="009767A9">
        <w:rPr>
          <w:rFonts w:ascii="Arial" w:eastAsia="Arial" w:hAnsi="Arial" w:cs="Arial"/>
          <w:b/>
          <w:bCs/>
          <w:color w:val="BF5A14"/>
          <w:sz w:val="20"/>
          <w:szCs w:val="20"/>
        </w:rPr>
        <w:lastRenderedPageBreak/>
        <w:t xml:space="preserve">   I- Introduction: </w:t>
      </w:r>
      <w:r w:rsidR="004E2451" w:rsidRPr="004E2451">
        <w:rPr>
          <w:rFonts w:ascii="Arial" w:eastAsia="Arial" w:hAnsi="Arial" w:cs="Arial"/>
          <w:sz w:val="20"/>
          <w:szCs w:val="20"/>
        </w:rPr>
        <w:t>Prostate cancer is the most common cancer diagnosed in men in industrialized countries, where its incidence increases steadily. It has become in recent decades a real public health problem, because of its frequency and seriousness. Today, conformational radiotherapy is the standard technique for irradiating non-metastatic prostate cancers because of the benefits pro</w:t>
      </w:r>
      <w:r w:rsidR="004E2451">
        <w:rPr>
          <w:rFonts w:ascii="Arial" w:eastAsia="Arial" w:hAnsi="Arial" w:cs="Arial"/>
          <w:sz w:val="20"/>
          <w:szCs w:val="20"/>
        </w:rPr>
        <w:t xml:space="preserve">vided in terms of tolerance and </w:t>
      </w:r>
      <w:r w:rsidR="004E2451" w:rsidRPr="004E2451">
        <w:rPr>
          <w:rFonts w:ascii="Arial" w:eastAsia="Arial" w:hAnsi="Arial" w:cs="Arial"/>
          <w:sz w:val="20"/>
          <w:szCs w:val="20"/>
        </w:rPr>
        <w:t xml:space="preserve">control of the disease.                                                                                                                                       The objective of our work was to evaluate the acute toxicity and the digestive and urinary </w:t>
      </w:r>
      <w:proofErr w:type="spellStart"/>
      <w:r w:rsidR="004E2451" w:rsidRPr="004E2451">
        <w:rPr>
          <w:rFonts w:ascii="Arial" w:eastAsia="Arial" w:hAnsi="Arial" w:cs="Arial"/>
          <w:sz w:val="20"/>
          <w:szCs w:val="20"/>
        </w:rPr>
        <w:t>sequelae</w:t>
      </w:r>
      <w:proofErr w:type="spellEnd"/>
      <w:r w:rsidR="004E2451" w:rsidRPr="004E2451">
        <w:rPr>
          <w:rFonts w:ascii="Arial" w:eastAsia="Arial" w:hAnsi="Arial" w:cs="Arial"/>
          <w:sz w:val="20"/>
          <w:szCs w:val="20"/>
        </w:rPr>
        <w:t xml:space="preserve"> secondary to conformal radiotherapy in patients with non-metastatic prostate cancer treated with EHS in oncology Emir </w:t>
      </w:r>
      <w:proofErr w:type="spellStart"/>
      <w:r w:rsidR="004E2451" w:rsidRPr="004E2451">
        <w:rPr>
          <w:rFonts w:ascii="Arial" w:eastAsia="Arial" w:hAnsi="Arial" w:cs="Arial"/>
          <w:sz w:val="20"/>
          <w:szCs w:val="20"/>
        </w:rPr>
        <w:t>Abdelkader</w:t>
      </w:r>
      <w:proofErr w:type="spellEnd"/>
      <w:r w:rsidR="004E2451" w:rsidRPr="004E2451">
        <w:rPr>
          <w:rFonts w:ascii="Arial" w:eastAsia="Arial" w:hAnsi="Arial" w:cs="Arial"/>
          <w:sz w:val="20"/>
          <w:szCs w:val="20"/>
        </w:rPr>
        <w:t xml:space="preserve"> from Oran.</w:t>
      </w:r>
    </w:p>
    <w:p w:rsidR="004E2451" w:rsidRDefault="009767A9" w:rsidP="004E2451">
      <w:pPr>
        <w:pStyle w:val="Corpsdetexte"/>
        <w:spacing w:before="90" w:line="280" w:lineRule="auto"/>
        <w:ind w:left="100"/>
        <w:jc w:val="both"/>
        <w:rPr>
          <w:rFonts w:ascii="Arial" w:eastAsia="Arial" w:hAnsi="Arial" w:cs="Arial"/>
          <w:b/>
          <w:bCs/>
          <w:color w:val="BF5A14"/>
          <w:sz w:val="20"/>
          <w:szCs w:val="20"/>
        </w:rPr>
      </w:pPr>
      <w:r w:rsidRPr="009767A9">
        <w:rPr>
          <w:rFonts w:ascii="Arial" w:eastAsia="Arial" w:hAnsi="Arial" w:cs="Arial"/>
          <w:b/>
          <w:bCs/>
          <w:color w:val="BF5A14"/>
          <w:sz w:val="20"/>
          <w:szCs w:val="20"/>
        </w:rPr>
        <w:t xml:space="preserve">   II-Materials and methods: </w:t>
      </w:r>
      <w:r w:rsidR="004E2451" w:rsidRPr="004E2451">
        <w:rPr>
          <w:rFonts w:ascii="Arial" w:eastAsia="Arial" w:hAnsi="Arial" w:cs="Arial"/>
          <w:sz w:val="20"/>
          <w:szCs w:val="20"/>
        </w:rPr>
        <w:t>This is a prospective prognostic study of a cohort of 90 patients with non-metastatic prostate cancer treated with conformal radiotherapy from June 2010 to December 2014. The acute and late toxicities of radiotherapy were graded according to RTOG criteria (Radiation Therapeutic Oncology Group).</w:t>
      </w:r>
      <w:r w:rsidRPr="009767A9">
        <w:rPr>
          <w:rFonts w:ascii="Arial" w:eastAsia="Arial" w:hAnsi="Arial" w:cs="Arial"/>
          <w:b/>
          <w:bCs/>
          <w:color w:val="BF5A14"/>
          <w:sz w:val="20"/>
          <w:szCs w:val="20"/>
        </w:rPr>
        <w:t xml:space="preserve">   </w:t>
      </w:r>
    </w:p>
    <w:p w:rsidR="009767A9" w:rsidRPr="009767A9" w:rsidRDefault="009767A9" w:rsidP="004E2451">
      <w:pPr>
        <w:pStyle w:val="Corpsdetexte"/>
        <w:spacing w:before="90" w:line="280" w:lineRule="auto"/>
        <w:ind w:left="100"/>
        <w:jc w:val="both"/>
        <w:rPr>
          <w:rFonts w:ascii="Arial" w:eastAsia="Arial" w:hAnsi="Arial" w:cs="Arial"/>
          <w:color w:val="BF5A14"/>
          <w:sz w:val="20"/>
          <w:szCs w:val="20"/>
        </w:rPr>
      </w:pPr>
      <w:r w:rsidRPr="009767A9">
        <w:rPr>
          <w:rFonts w:ascii="Arial" w:eastAsia="Arial" w:hAnsi="Arial" w:cs="Arial"/>
          <w:b/>
          <w:bCs/>
          <w:color w:val="BF5A14"/>
          <w:sz w:val="20"/>
          <w:szCs w:val="20"/>
        </w:rPr>
        <w:t xml:space="preserve"> III-Results: </w:t>
      </w:r>
      <w:r w:rsidR="004E2451" w:rsidRPr="004E2451">
        <w:rPr>
          <w:rFonts w:ascii="Arial" w:eastAsia="Arial" w:hAnsi="Arial" w:cs="Arial"/>
          <w:sz w:val="20"/>
          <w:szCs w:val="20"/>
        </w:rPr>
        <w:t xml:space="preserve">The average age of our patients is 66.3 ± 0.6 years (52-78 years). Locally advanced and / or localized high-risk stages (according to the AMICO classification) are found in 80% of cases. Irradiation was associated with hormone therapy in 94.4%. The target volume included the prostate or prostatic lodge alone in 30.1% of cases and the pelvis in 69.9%. The dose ranged from 64Gy to 74Gy. In terms of </w:t>
      </w:r>
      <w:proofErr w:type="spellStart"/>
      <w:r w:rsidR="004E2451" w:rsidRPr="004E2451">
        <w:rPr>
          <w:rFonts w:ascii="Arial" w:eastAsia="Arial" w:hAnsi="Arial" w:cs="Arial"/>
          <w:sz w:val="20"/>
          <w:szCs w:val="20"/>
        </w:rPr>
        <w:t>dosimetry</w:t>
      </w:r>
      <w:proofErr w:type="spellEnd"/>
      <w:r w:rsidR="004E2451" w:rsidRPr="004E2451">
        <w:rPr>
          <w:rFonts w:ascii="Arial" w:eastAsia="Arial" w:hAnsi="Arial" w:cs="Arial"/>
          <w:sz w:val="20"/>
          <w:szCs w:val="20"/>
        </w:rPr>
        <w:t>, the dose constraints to organs at risk in this case the bladder, rectum and small intestine were respected. The majority of our patients tolerated radiation therapy well. There were only two cases of acute grade 3 urinary toxicity and 11 patients (12.2%) had grade 2 toxicity. On the gastrointestinal level, seven patients had acute grade 2 toxicity and no grade 3 complication was recorded. Regarding late-onset radiation complications, 16 patients (17.8%) presented with late grade 1 urinary toxicity and s</w:t>
      </w:r>
      <w:r w:rsidR="004E2451">
        <w:rPr>
          <w:rFonts w:ascii="Arial" w:eastAsia="Arial" w:hAnsi="Arial" w:cs="Arial"/>
          <w:sz w:val="20"/>
          <w:szCs w:val="20"/>
        </w:rPr>
        <w:t>even cases (7.8%) with grade 2.</w:t>
      </w:r>
      <w:r w:rsidR="004E2451" w:rsidRPr="004E2451">
        <w:rPr>
          <w:rFonts w:ascii="Arial" w:eastAsia="Arial" w:hAnsi="Arial" w:cs="Arial"/>
          <w:sz w:val="20"/>
          <w:szCs w:val="20"/>
        </w:rPr>
        <w:t xml:space="preserve"> However, seven patients (7.8%) had late digestive toxicity grade 1, two (2.2%) grade 2 cases and one grade 3 patient.</w:t>
      </w:r>
    </w:p>
    <w:p w:rsidR="009767A9" w:rsidRPr="004E2451" w:rsidRDefault="009767A9" w:rsidP="004E2451">
      <w:pPr>
        <w:pStyle w:val="Corpsdetexte"/>
        <w:spacing w:before="90" w:line="280" w:lineRule="auto"/>
        <w:ind w:left="100"/>
        <w:jc w:val="both"/>
        <w:rPr>
          <w:rFonts w:ascii="Arial" w:eastAsia="Arial" w:hAnsi="Arial" w:cs="Arial"/>
          <w:sz w:val="20"/>
          <w:szCs w:val="20"/>
        </w:rPr>
      </w:pPr>
      <w:r w:rsidRPr="009767A9">
        <w:rPr>
          <w:rFonts w:ascii="Arial" w:eastAsia="Arial" w:hAnsi="Arial" w:cs="Arial"/>
          <w:b/>
          <w:bCs/>
          <w:color w:val="BF5A14"/>
          <w:sz w:val="20"/>
          <w:szCs w:val="20"/>
        </w:rPr>
        <w:t xml:space="preserve">    IV-Conclusion: </w:t>
      </w:r>
      <w:r w:rsidR="004E2451" w:rsidRPr="004E2451">
        <w:rPr>
          <w:rFonts w:ascii="Arial" w:eastAsia="Arial" w:hAnsi="Arial" w:cs="Arial"/>
          <w:sz w:val="20"/>
          <w:szCs w:val="20"/>
        </w:rPr>
        <w:t>Conformational radiotherapy in prostate cancer makes it possible to respect the dose constraints to organs at risk (bladder, rectum and small intestine) and to reduce the occurrence of complications, which significantly improves patients' quality of life.</w:t>
      </w:r>
    </w:p>
    <w:p w:rsidR="009767A9" w:rsidRDefault="009767A9" w:rsidP="009767A9">
      <w:pPr>
        <w:pStyle w:val="Corpsdetexte"/>
        <w:spacing w:before="90" w:line="280" w:lineRule="auto"/>
        <w:ind w:left="100"/>
        <w:jc w:val="both"/>
        <w:rPr>
          <w:rFonts w:ascii="Arial" w:eastAsia="Arial" w:hAnsi="Arial" w:cs="Arial"/>
          <w:b/>
          <w:bCs/>
          <w:color w:val="BF5A14"/>
          <w:sz w:val="20"/>
          <w:szCs w:val="20"/>
        </w:rPr>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4E2451" w:rsidRDefault="004E2451" w:rsidP="000032EC">
      <w:pPr>
        <w:pStyle w:val="Corpsdetexte"/>
        <w:spacing w:before="90" w:line="280" w:lineRule="auto"/>
        <w:ind w:left="100"/>
        <w:jc w:val="right"/>
      </w:pPr>
    </w:p>
    <w:p w:rsidR="009767A9" w:rsidRDefault="009767A9" w:rsidP="004E2451">
      <w:pPr>
        <w:pStyle w:val="Corpsdetexte"/>
        <w:spacing w:before="90" w:line="280" w:lineRule="auto"/>
      </w:pPr>
      <w:bookmarkStart w:id="0" w:name="_GoBack"/>
      <w:bookmarkEnd w:id="0"/>
      <w:r>
        <w:rPr>
          <w:noProof/>
          <w:lang w:val="fr-FR" w:eastAsia="fr-FR"/>
        </w:rPr>
        <w:drawing>
          <wp:inline distT="0" distB="0" distL="0" distR="0" wp14:anchorId="76B6DCBF" wp14:editId="603F7D80">
            <wp:extent cx="1528876" cy="124358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7629" cy="1242570"/>
                    </a:xfrm>
                    <a:prstGeom prst="rect">
                      <a:avLst/>
                    </a:prstGeom>
                    <a:noFill/>
                  </pic:spPr>
                </pic:pic>
              </a:graphicData>
            </a:graphic>
          </wp:inline>
        </w:drawing>
      </w:r>
    </w:p>
    <w:p w:rsidR="009767A9" w:rsidRPr="004E2451" w:rsidRDefault="009767A9" w:rsidP="004E2451">
      <w:pPr>
        <w:pStyle w:val="Corpsdetexte"/>
        <w:spacing w:before="90" w:line="280" w:lineRule="auto"/>
        <w:ind w:left="100"/>
        <w:jc w:val="both"/>
      </w:pPr>
      <w:r w:rsidRPr="009767A9">
        <w:t>lotaleb@yahoo.fr</w:t>
      </w:r>
    </w:p>
    <w:p w:rsidR="009767A9" w:rsidRDefault="009767A9" w:rsidP="009767A9">
      <w:pPr>
        <w:pStyle w:val="Titre3"/>
        <w:spacing w:before="74"/>
        <w:ind w:left="0"/>
        <w:rPr>
          <w:rFonts w:ascii="Calibri"/>
        </w:rPr>
      </w:pPr>
    </w:p>
    <w:p w:rsidR="009767A9" w:rsidRDefault="009767A9" w:rsidP="009767A9">
      <w:pPr>
        <w:pStyle w:val="Titre3"/>
        <w:spacing w:before="74"/>
        <w:ind w:left="113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p w:rsidR="009767A9" w:rsidRDefault="009767A9" w:rsidP="009767A9">
      <w:pPr>
        <w:pStyle w:val="Titre3"/>
        <w:spacing w:before="74"/>
        <w:rPr>
          <w:rFonts w:ascii="Calibri"/>
        </w:rPr>
      </w:pPr>
    </w:p>
    <w:sectPr w:rsidR="009767A9" w:rsidSect="009767A9">
      <w:type w:val="continuous"/>
      <w:pgSz w:w="11910" w:h="16840"/>
      <w:pgMar w:top="304" w:right="580" w:bottom="840" w:left="620" w:header="720" w:footer="720" w:gutter="0"/>
      <w:cols w:num="2" w:space="720" w:equalWidth="0">
        <w:col w:w="5214" w:space="2388"/>
        <w:col w:w="310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029" w:rsidRDefault="00BC0029">
      <w:r>
        <w:separator/>
      </w:r>
    </w:p>
  </w:endnote>
  <w:endnote w:type="continuationSeparator" w:id="0">
    <w:p w:rsidR="00BC0029" w:rsidRDefault="00BC0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2B0A93" w:rsidP="002B0A93">
    <w:pPr>
      <w:pStyle w:val="Pieddepage"/>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022BE5">
      <w:rPr>
        <w:rFonts w:ascii="Times New Roman" w:hAnsi="Times New Roman" w:cs="Times New Roman"/>
        <w:sz w:val="28"/>
        <w:szCs w:val="28"/>
        <w:lang w:val="en-IN"/>
      </w:rPr>
      <w:t>Euro Cancer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029" w:rsidRDefault="00BC0029">
      <w:r>
        <w:separator/>
      </w:r>
    </w:p>
  </w:footnote>
  <w:footnote w:type="continuationSeparator" w:id="0">
    <w:p w:rsidR="00BC0029" w:rsidRDefault="00BC00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2EC"/>
    <w:rsid w:val="00022BE5"/>
    <w:rsid w:val="0004444B"/>
    <w:rsid w:val="000E2911"/>
    <w:rsid w:val="000F7705"/>
    <w:rsid w:val="001263DF"/>
    <w:rsid w:val="00273C63"/>
    <w:rsid w:val="00292ED9"/>
    <w:rsid w:val="002B0A93"/>
    <w:rsid w:val="003121FA"/>
    <w:rsid w:val="00404E5B"/>
    <w:rsid w:val="00414F7B"/>
    <w:rsid w:val="0042163B"/>
    <w:rsid w:val="004355DC"/>
    <w:rsid w:val="004749B4"/>
    <w:rsid w:val="00494130"/>
    <w:rsid w:val="004E2451"/>
    <w:rsid w:val="004F3523"/>
    <w:rsid w:val="005973B9"/>
    <w:rsid w:val="005B3A56"/>
    <w:rsid w:val="006060CE"/>
    <w:rsid w:val="006272D5"/>
    <w:rsid w:val="0063497F"/>
    <w:rsid w:val="00687D1A"/>
    <w:rsid w:val="006A50CB"/>
    <w:rsid w:val="006B44AF"/>
    <w:rsid w:val="00715384"/>
    <w:rsid w:val="00814B51"/>
    <w:rsid w:val="00853E1F"/>
    <w:rsid w:val="00873DF0"/>
    <w:rsid w:val="008756E6"/>
    <w:rsid w:val="009767A9"/>
    <w:rsid w:val="009B2D44"/>
    <w:rsid w:val="00A07E82"/>
    <w:rsid w:val="00A9710C"/>
    <w:rsid w:val="00AE3E37"/>
    <w:rsid w:val="00B21A57"/>
    <w:rsid w:val="00B52666"/>
    <w:rsid w:val="00BC0029"/>
    <w:rsid w:val="00C07ADE"/>
    <w:rsid w:val="00C33602"/>
    <w:rsid w:val="00C80461"/>
    <w:rsid w:val="00CD6F55"/>
    <w:rsid w:val="00DE3104"/>
    <w:rsid w:val="00E354CE"/>
    <w:rsid w:val="00F72EEA"/>
    <w:rsid w:val="00F84CAE"/>
    <w:rsid w:val="00F86E3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Sansinterligne">
    <w:name w:val="No Spacing"/>
    <w:uiPriority w:val="1"/>
    <w:qFormat/>
    <w:rsid w:val="006B44AF"/>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Sansinterligne">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441</Words>
  <Characters>2429</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cp:lastModifiedBy>
  <cp:revision>2</cp:revision>
  <dcterms:created xsi:type="dcterms:W3CDTF">2020-02-18T09:43:00Z</dcterms:created>
  <dcterms:modified xsi:type="dcterms:W3CDTF">2020-02-18T09:43:00Z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