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color w:val="1c4587"/>
          <w:sz w:val="26"/>
          <w:szCs w:val="26"/>
        </w:rPr>
      </w:pPr>
      <w:r w:rsidDel="00000000" w:rsidR="00000000" w:rsidRPr="00000000">
        <w:rPr>
          <w:b w:val="1"/>
          <w:color w:val="1c4587"/>
          <w:sz w:val="26"/>
          <w:szCs w:val="26"/>
          <w:rtl w:val="0"/>
        </w:rPr>
        <w:t xml:space="preserve">Effects of Ketogenic Diet on Brain Tumor Metabolism</w:t>
      </w:r>
    </w:p>
    <w:p w:rsidR="00000000" w:rsidDel="00000000" w:rsidP="00000000" w:rsidRDefault="00000000" w:rsidRPr="00000000" w14:paraId="00000002">
      <w:pPr>
        <w:rPr>
          <w:color w:val="333333"/>
          <w:sz w:val="26"/>
          <w:szCs w:val="26"/>
        </w:rPr>
      </w:pPr>
      <w:r w:rsidDel="00000000" w:rsidR="00000000" w:rsidRPr="00000000">
        <w:rPr>
          <w:rtl w:val="0"/>
        </w:rPr>
      </w:r>
    </w:p>
    <w:p w:rsidR="00000000" w:rsidDel="00000000" w:rsidP="00000000" w:rsidRDefault="00000000" w:rsidRPr="00000000" w14:paraId="00000003">
      <w:pPr>
        <w:spacing w:after="150" w:line="240" w:lineRule="auto"/>
        <w:jc w:val="both"/>
        <w:rPr>
          <w:i w:val="1"/>
          <w:sz w:val="20"/>
          <w:szCs w:val="20"/>
        </w:rPr>
      </w:pPr>
      <w:r w:rsidDel="00000000" w:rsidR="00000000" w:rsidRPr="00000000">
        <w:rPr>
          <w:i w:val="1"/>
          <w:sz w:val="20"/>
          <w:szCs w:val="20"/>
          <w:rtl w:val="0"/>
        </w:rPr>
        <w:t xml:space="preserve">Motta, J.</w:t>
      </w:r>
      <w:r w:rsidDel="00000000" w:rsidR="00000000" w:rsidRPr="00000000">
        <w:rPr>
          <w:i w:val="1"/>
          <w:sz w:val="20"/>
          <w:szCs w:val="20"/>
          <w:vertAlign w:val="superscript"/>
          <w:rtl w:val="0"/>
        </w:rPr>
        <w:t xml:space="preserve">1</w:t>
      </w:r>
      <w:r w:rsidDel="00000000" w:rsidR="00000000" w:rsidRPr="00000000">
        <w:rPr>
          <w:i w:val="1"/>
          <w:sz w:val="20"/>
          <w:szCs w:val="20"/>
          <w:rtl w:val="0"/>
        </w:rPr>
        <w:t xml:space="preserve"> Board-Certified Especialist in Veterinary Neurology and Nutrology. Research Fellow, Department of Nutrology, University of Florida; Donadao, F.</w:t>
      </w:r>
      <w:r w:rsidDel="00000000" w:rsidR="00000000" w:rsidRPr="00000000">
        <w:rPr>
          <w:i w:val="1"/>
          <w:sz w:val="20"/>
          <w:szCs w:val="20"/>
          <w:vertAlign w:val="superscript"/>
          <w:rtl w:val="0"/>
        </w:rPr>
        <w:t xml:space="preserve"> 2</w:t>
      </w:r>
      <w:r w:rsidDel="00000000" w:rsidR="00000000" w:rsidRPr="00000000">
        <w:rPr>
          <w:i w:val="1"/>
          <w:sz w:val="20"/>
          <w:szCs w:val="20"/>
          <w:rtl w:val="0"/>
        </w:rPr>
        <w:t xml:space="preserve"> Carnivore Nutrition Specialist, American Council of Animal Naturopathy, USA; Lobo, Luciano.</w:t>
      </w:r>
      <w:r w:rsidDel="00000000" w:rsidR="00000000" w:rsidRPr="00000000">
        <w:rPr>
          <w:i w:val="1"/>
          <w:sz w:val="20"/>
          <w:szCs w:val="20"/>
          <w:vertAlign w:val="superscript"/>
          <w:rtl w:val="0"/>
        </w:rPr>
        <w:t xml:space="preserve"> 3</w:t>
      </w:r>
      <w:r w:rsidDel="00000000" w:rsidR="00000000" w:rsidRPr="00000000">
        <w:rPr>
          <w:i w:val="1"/>
          <w:sz w:val="20"/>
          <w:szCs w:val="20"/>
          <w:rtl w:val="0"/>
        </w:rPr>
        <w:t xml:space="preserve"> Neurosurgeon, Brazil, Melo, Ana.</w:t>
      </w:r>
      <w:r w:rsidDel="00000000" w:rsidR="00000000" w:rsidRPr="00000000">
        <w:rPr>
          <w:i w:val="1"/>
          <w:sz w:val="20"/>
          <w:szCs w:val="20"/>
          <w:vertAlign w:val="superscript"/>
          <w:rtl w:val="0"/>
        </w:rPr>
        <w:t xml:space="preserve"> 4</w:t>
      </w:r>
      <w:r w:rsidDel="00000000" w:rsidR="00000000" w:rsidRPr="00000000">
        <w:rPr>
          <w:i w:val="1"/>
          <w:sz w:val="20"/>
          <w:szCs w:val="20"/>
          <w:rtl w:val="0"/>
        </w:rPr>
        <w:t xml:space="preserve"> DVM, Brazil.</w:t>
      </w:r>
    </w:p>
    <w:p w:rsidR="00000000" w:rsidDel="00000000" w:rsidP="00000000" w:rsidRDefault="00000000" w:rsidRPr="00000000" w14:paraId="00000004">
      <w:pPr>
        <w:rPr>
          <w:color w:val="333333"/>
          <w:sz w:val="26"/>
          <w:szCs w:val="26"/>
        </w:rPr>
      </w:pPr>
      <w:r w:rsidDel="00000000" w:rsidR="00000000" w:rsidRPr="00000000">
        <w:rPr>
          <w:rtl w:val="0"/>
        </w:rPr>
      </w:r>
    </w:p>
    <w:p w:rsidR="00000000" w:rsidDel="00000000" w:rsidP="00000000" w:rsidRDefault="00000000" w:rsidRPr="00000000" w14:paraId="00000005">
      <w:pPr>
        <w:rPr>
          <w:color w:val="333333"/>
          <w:sz w:val="26"/>
          <w:szCs w:val="26"/>
        </w:rPr>
      </w:pPr>
      <w:r w:rsidDel="00000000" w:rsidR="00000000" w:rsidRPr="00000000">
        <w:rPr>
          <w:color w:val="333333"/>
          <w:sz w:val="26"/>
          <w:szCs w:val="26"/>
          <w:rtl w:val="0"/>
        </w:rPr>
        <w:t xml:space="preserve">Objective: Establish dietary-induced ketosis in one oncology patient to determine if a ketogenic state would decrease glucose availability to certain tumors, thereby potentially impairing tumor metabolism without adversely affecting the patient's overall nutritional status.</w:t>
      </w:r>
    </w:p>
    <w:p w:rsidR="00000000" w:rsidDel="00000000" w:rsidP="00000000" w:rsidRDefault="00000000" w:rsidRPr="00000000" w14:paraId="00000006">
      <w:pPr>
        <w:rPr>
          <w:color w:val="333333"/>
          <w:sz w:val="26"/>
          <w:szCs w:val="26"/>
        </w:rPr>
      </w:pPr>
      <w:r w:rsidDel="00000000" w:rsidR="00000000" w:rsidRPr="00000000">
        <w:rPr>
          <w:rtl w:val="0"/>
        </w:rPr>
      </w:r>
    </w:p>
    <w:p w:rsidR="00000000" w:rsidDel="00000000" w:rsidP="00000000" w:rsidRDefault="00000000" w:rsidRPr="00000000" w14:paraId="00000007">
      <w:pPr>
        <w:rPr>
          <w:color w:val="333333"/>
          <w:sz w:val="26"/>
          <w:szCs w:val="26"/>
        </w:rPr>
      </w:pPr>
      <w:r w:rsidDel="00000000" w:rsidR="00000000" w:rsidRPr="00000000">
        <w:rPr>
          <w:color w:val="333333"/>
          <w:sz w:val="26"/>
          <w:szCs w:val="26"/>
          <w:rtl w:val="0"/>
        </w:rPr>
        <w:t xml:space="preserve">Methods: Case report: One pet male with advanced stage brain tumor.</w:t>
      </w:r>
    </w:p>
    <w:p w:rsidR="00000000" w:rsidDel="00000000" w:rsidP="00000000" w:rsidRDefault="00000000" w:rsidRPr="00000000" w14:paraId="00000008">
      <w:pPr>
        <w:rPr>
          <w:color w:val="333333"/>
          <w:sz w:val="26"/>
          <w:szCs w:val="26"/>
        </w:rPr>
      </w:pPr>
      <w:r w:rsidDel="00000000" w:rsidR="00000000" w:rsidRPr="00000000">
        <w:rPr>
          <w:color w:val="333333"/>
          <w:sz w:val="26"/>
          <w:szCs w:val="26"/>
          <w:rtl w:val="0"/>
        </w:rPr>
        <w:t xml:space="preserve">Patient was followed as outpatients for 1 year. Ketosis was maintained by consuming a 60% medium chain triglyceride oil-based diet.</w:t>
      </w:r>
      <w:r w:rsidDel="00000000" w:rsidR="00000000" w:rsidRPr="00000000">
        <w:rPr>
          <w:color w:val="333333"/>
          <w:sz w:val="24"/>
          <w:szCs w:val="24"/>
          <w:rtl w:val="0"/>
        </w:rPr>
        <w:t xml:space="preserve"> Some cancers cannot metabolize ketone bodies, due to mitochondrial dysfunction and down-regulation of enzymes necessary for ketone utilization. </w:t>
      </w:r>
      <w:r w:rsidDel="00000000" w:rsidR="00000000" w:rsidRPr="00000000">
        <w:rPr>
          <w:color w:val="333333"/>
          <w:sz w:val="26"/>
          <w:szCs w:val="26"/>
          <w:rtl w:val="0"/>
        </w:rPr>
        <w:t xml:space="preserve">Tumor glucose metabolism was assessed by RMI, before and following the trial period.</w:t>
      </w:r>
    </w:p>
    <w:p w:rsidR="00000000" w:rsidDel="00000000" w:rsidP="00000000" w:rsidRDefault="00000000" w:rsidRPr="00000000" w14:paraId="00000009">
      <w:pPr>
        <w:rPr>
          <w:color w:val="333333"/>
          <w:sz w:val="26"/>
          <w:szCs w:val="26"/>
        </w:rPr>
      </w:pPr>
      <w:r w:rsidDel="00000000" w:rsidR="00000000" w:rsidRPr="00000000">
        <w:rPr>
          <w:rtl w:val="0"/>
        </w:rPr>
      </w:r>
    </w:p>
    <w:p w:rsidR="00000000" w:rsidDel="00000000" w:rsidP="00000000" w:rsidRDefault="00000000" w:rsidRPr="00000000" w14:paraId="0000000A">
      <w:pPr>
        <w:rPr>
          <w:color w:val="333333"/>
          <w:sz w:val="26"/>
          <w:szCs w:val="26"/>
        </w:rPr>
      </w:pPr>
      <w:r w:rsidDel="00000000" w:rsidR="00000000" w:rsidRPr="00000000">
        <w:rPr>
          <w:color w:val="333333"/>
          <w:sz w:val="26"/>
          <w:szCs w:val="26"/>
          <w:rtl w:val="0"/>
        </w:rPr>
        <w:t xml:space="preserve">Results: Within 7 days of initiating the ketogenic diet, blood glucose levels declined to low-normal levels and blood ketones were elevated. Results of RMI indicated a 50% average decrease uptake at the tumor site in subject. The patient exhibited significant clinical improvements in seizures, neurological deficits and new skill development during the treatment. He still continue used the ketogenic diet remaining free of disease progression.</w:t>
      </w:r>
    </w:p>
    <w:p w:rsidR="00000000" w:rsidDel="00000000" w:rsidP="00000000" w:rsidRDefault="00000000" w:rsidRPr="00000000" w14:paraId="0000000B">
      <w:pPr>
        <w:rPr>
          <w:color w:val="333333"/>
          <w:sz w:val="26"/>
          <w:szCs w:val="26"/>
        </w:rPr>
      </w:pPr>
      <w:r w:rsidDel="00000000" w:rsidR="00000000" w:rsidRPr="00000000">
        <w:rPr>
          <w:rtl w:val="0"/>
        </w:rPr>
      </w:r>
    </w:p>
    <w:p w:rsidR="00000000" w:rsidDel="00000000" w:rsidP="00000000" w:rsidRDefault="00000000" w:rsidRPr="00000000" w14:paraId="0000000C">
      <w:pPr>
        <w:rPr>
          <w:color w:val="333333"/>
          <w:sz w:val="26"/>
          <w:szCs w:val="26"/>
        </w:rPr>
      </w:pPr>
      <w:r w:rsidDel="00000000" w:rsidR="00000000" w:rsidRPr="00000000">
        <w:rPr>
          <w:color w:val="333333"/>
          <w:sz w:val="26"/>
          <w:szCs w:val="26"/>
          <w:rtl w:val="0"/>
        </w:rPr>
        <w:t xml:space="preserve">Conclusion: While this diet does not replace conventional antineoplastic treatments, these preliminary results suggest a potential for clinical application which merits further research.</w:t>
      </w:r>
    </w:p>
    <w:p w:rsidR="00000000" w:rsidDel="00000000" w:rsidP="00000000" w:rsidRDefault="00000000" w:rsidRPr="00000000" w14:paraId="0000000D">
      <w:pPr>
        <w:rPr>
          <w:color w:val="333333"/>
          <w:sz w:val="26"/>
          <w:szCs w:val="26"/>
        </w:rPr>
      </w:pPr>
      <w:r w:rsidDel="00000000" w:rsidR="00000000" w:rsidRPr="00000000">
        <w:rPr>
          <w:rtl w:val="0"/>
        </w:rPr>
      </w:r>
    </w:p>
    <w:p w:rsidR="00000000" w:rsidDel="00000000" w:rsidP="00000000" w:rsidRDefault="00000000" w:rsidRPr="00000000" w14:paraId="0000000E">
      <w:pPr>
        <w:rPr>
          <w:color w:val="333333"/>
          <w:sz w:val="26"/>
          <w:szCs w:val="26"/>
        </w:rPr>
      </w:pPr>
      <w:r w:rsidDel="00000000" w:rsidR="00000000" w:rsidRPr="00000000">
        <w:rPr>
          <w:rtl w:val="0"/>
        </w:rPr>
      </w:r>
    </w:p>
    <w:p w:rsidR="00000000" w:rsidDel="00000000" w:rsidP="00000000" w:rsidRDefault="00000000" w:rsidRPr="00000000" w14:paraId="0000000F">
      <w:pPr>
        <w:spacing w:after="150" w:line="240" w:lineRule="auto"/>
        <w:jc w:val="both"/>
        <w:rPr>
          <w:sz w:val="24"/>
          <w:szCs w:val="24"/>
        </w:rPr>
      </w:pPr>
      <w:r w:rsidDel="00000000" w:rsidR="00000000" w:rsidRPr="00000000">
        <w:rPr>
          <w:sz w:val="24"/>
          <w:szCs w:val="24"/>
        </w:rPr>
        <w:drawing>
          <wp:inline distB="0" distT="0" distL="0" distR="0">
            <wp:extent cx="2433638" cy="1083806"/>
            <wp:effectExtent b="0" l="0" r="0" t="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2433638" cy="1083806"/>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2414588" cy="1095777"/>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414588" cy="1095777"/>
                    </a:xfrm>
                    <a:prstGeom prst="rect"/>
                    <a:ln/>
                  </pic:spPr>
                </pic:pic>
              </a:graphicData>
            </a:graphic>
          </wp:anchor>
        </w:drawing>
      </w:r>
    </w:p>
    <w:p w:rsidR="00000000" w:rsidDel="00000000" w:rsidP="00000000" w:rsidRDefault="00000000" w:rsidRPr="00000000" w14:paraId="00000010">
      <w:pPr>
        <w:spacing w:after="150" w:line="240" w:lineRule="auto"/>
        <w:ind w:firstLine="720"/>
        <w:jc w:val="both"/>
        <w:rPr>
          <w:sz w:val="24"/>
          <w:szCs w:val="24"/>
        </w:rPr>
      </w:pPr>
      <w:r w:rsidDel="00000000" w:rsidR="00000000" w:rsidRPr="00000000">
        <w:rPr>
          <w:sz w:val="16"/>
          <w:szCs w:val="16"/>
          <w:rtl w:val="0"/>
        </w:rPr>
        <w:t xml:space="preserve">Figure 1 – Baseline – Pre-keto</w:t>
        <w:tab/>
        <w:tab/>
        <w:tab/>
        <w:t xml:space="preserve">Figure 2- Day 60 on Keto</w:t>
      </w: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