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2B32" w:rsidRDefault="00002B32" w:rsidP="00002B32">
      <w:pPr>
        <w:spacing w:after="0" w:line="360" w:lineRule="auto"/>
        <w:ind w:right="49"/>
        <w:jc w:val="both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02B3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Title: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A </w:t>
      </w:r>
      <w:r w:rsidR="0018429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Retrospective Analysis of Uterine </w:t>
      </w:r>
      <w:proofErr w:type="spellStart"/>
      <w:r w:rsidR="0018429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Leiomyosarcoma</w:t>
      </w:r>
      <w:proofErr w:type="spellEnd"/>
      <w:r w:rsidR="0018429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in Premenopausal Women in Terms of Gene Expression,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ER </w:t>
      </w:r>
      <w:r w:rsidR="0018429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and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PR </w:t>
      </w:r>
      <w:r w:rsidR="0018429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Expression, Treatment and Overall Survival: </w:t>
      </w:r>
      <w:r w:rsidR="00B949D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Experience </w:t>
      </w:r>
      <w:r w:rsidR="0018429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of 8 Years from a Canadian Province.</w:t>
      </w:r>
    </w:p>
    <w:p w:rsidR="008408B3" w:rsidRDefault="008408B3" w:rsidP="00002B32">
      <w:pPr>
        <w:spacing w:after="0" w:line="360" w:lineRule="auto"/>
        <w:ind w:right="49"/>
        <w:jc w:val="both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Authors: Mohammed Al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Ruwaisan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, Prafull Ghatage, </w:t>
      </w:r>
      <w:r w:rsidRPr="008408B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Nilanchali Singh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(Presenting Author)</w:t>
      </w:r>
    </w:p>
    <w:p w:rsidR="00A51F8A" w:rsidRPr="00002B32" w:rsidRDefault="00A51F8A" w:rsidP="00002B32">
      <w:pPr>
        <w:spacing w:after="0" w:line="360" w:lineRule="auto"/>
        <w:ind w:right="49"/>
        <w:jc w:val="both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Tom Baker Cancer Center, University of Calgary, Alberta, Canada</w:t>
      </w:r>
    </w:p>
    <w:p w:rsidR="00002B32" w:rsidRPr="00002B32" w:rsidRDefault="00184296" w:rsidP="00002B32">
      <w:pPr>
        <w:spacing w:after="0" w:line="360" w:lineRule="auto"/>
        <w:ind w:right="49"/>
        <w:jc w:val="both"/>
        <w:outlineLvl w:val="3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</w:pPr>
      <w:r w:rsidRPr="00002B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Aim: </w:t>
      </w:r>
    </w:p>
    <w:p w:rsidR="00002B32" w:rsidRPr="00002B32" w:rsidRDefault="00002B32" w:rsidP="00002B3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2B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Uterine </w:t>
      </w:r>
      <w:proofErr w:type="spellStart"/>
      <w:r w:rsidRPr="00002B32">
        <w:rPr>
          <w:rFonts w:ascii="Times New Roman" w:eastAsia="Times New Roman" w:hAnsi="Times New Roman" w:cs="Times New Roman"/>
          <w:color w:val="000000"/>
          <w:sz w:val="24"/>
          <w:szCs w:val="24"/>
        </w:rPr>
        <w:t>leiomyosarcoma</w:t>
      </w:r>
      <w:proofErr w:type="spellEnd"/>
      <w:r w:rsidRPr="00002B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is a highly lethal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malignancy</w:t>
      </w:r>
      <w:r w:rsidRPr="00002B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It affects </w:t>
      </w:r>
      <w:r w:rsidRPr="00002B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approximately 0.4/100 000 women each year.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</w:t>
      </w:r>
      <w:r w:rsidRPr="00002B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aim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 this study is</w:t>
      </w:r>
      <w:r w:rsidRPr="00002B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assess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p16 and p53 gene expression, Estrogen &amp; progesterone receptor positivity, treatment and prognosis of women diagnosed with uterine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leiomyosarcoma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02B32" w:rsidRPr="00002B32" w:rsidRDefault="00184296" w:rsidP="00002B32">
      <w:pPr>
        <w:spacing w:after="0" w:line="360" w:lineRule="auto"/>
        <w:ind w:right="49"/>
        <w:jc w:val="both"/>
        <w:outlineLvl w:val="3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</w:pPr>
      <w:r w:rsidRPr="00002B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Methods: </w:t>
      </w:r>
    </w:p>
    <w:p w:rsidR="00002B32" w:rsidRPr="00002B32" w:rsidRDefault="00002B32" w:rsidP="00002B32">
      <w:pPr>
        <w:spacing w:after="10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total of 39</w:t>
      </w:r>
      <w:r w:rsidRPr="00002B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patients were treated at our institution between January 2008 and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December 2016</w:t>
      </w:r>
      <w:r w:rsidRPr="00002B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Data was analyzed retrospectively</w:t>
      </w:r>
      <w:r w:rsidRPr="00002B3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02B32" w:rsidRPr="00002B32" w:rsidRDefault="00184296" w:rsidP="00002B32">
      <w:pPr>
        <w:spacing w:after="0" w:line="360" w:lineRule="auto"/>
        <w:ind w:right="49"/>
        <w:jc w:val="both"/>
        <w:outlineLvl w:val="3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</w:pPr>
      <w:r w:rsidRPr="00002B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Results: </w:t>
      </w:r>
    </w:p>
    <w:p w:rsidR="00002B32" w:rsidRPr="00002B32" w:rsidRDefault="00002B32" w:rsidP="00002B32">
      <w:pPr>
        <w:spacing w:after="10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2B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median patient age was </w:t>
      </w:r>
      <w:r w:rsidR="00CC0E7E">
        <w:rPr>
          <w:rFonts w:ascii="Times New Roman" w:eastAsia="Times New Roman" w:hAnsi="Times New Roman" w:cs="Times New Roman"/>
          <w:color w:val="000000"/>
          <w:sz w:val="24"/>
          <w:szCs w:val="24"/>
        </w:rPr>
        <w:t>45 years (range, 28-54</w:t>
      </w:r>
      <w:r w:rsidRPr="00002B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years). </w:t>
      </w:r>
      <w:r w:rsidR="00B76B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Pre-operative diagnosis of a sarcoma was suspected in 15/39 patients only. </w:t>
      </w:r>
      <w:r w:rsidR="004E4D72" w:rsidRPr="00002B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Total abdominal hysterectomy and bilateral </w:t>
      </w:r>
      <w:proofErr w:type="spellStart"/>
      <w:r w:rsidR="004E4D72" w:rsidRPr="00002B32">
        <w:rPr>
          <w:rFonts w:ascii="Times New Roman" w:eastAsia="Times New Roman" w:hAnsi="Times New Roman" w:cs="Times New Roman"/>
          <w:color w:val="000000"/>
          <w:sz w:val="24"/>
          <w:szCs w:val="24"/>
        </w:rPr>
        <w:t>salpingo</w:t>
      </w:r>
      <w:proofErr w:type="spellEnd"/>
      <w:r w:rsidR="004E4D72" w:rsidRPr="00002B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-oophorectomy were performed for all patients, with additional surgical procedures (e.g., tumor resection, lymphadenectomy) performed if necessary. </w:t>
      </w:r>
      <w:r w:rsidR="004E4D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Lympho-vascular invasion was seen in 6/39 patients. </w:t>
      </w:r>
      <w:r w:rsidR="00837C50"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 w:rsidR="00A53FF9">
        <w:rPr>
          <w:rFonts w:ascii="Times New Roman" w:eastAsia="Times New Roman" w:hAnsi="Times New Roman" w:cs="Times New Roman"/>
          <w:color w:val="000000"/>
          <w:sz w:val="24"/>
          <w:szCs w:val="24"/>
        </w:rPr>
        <w:t>/39 patients presented with American Joint Committee on Cancer (AJCC) Stage I</w:t>
      </w:r>
      <w:r w:rsidRPr="00002B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disease (</w:t>
      </w:r>
      <w:r w:rsidR="00A53FF9">
        <w:rPr>
          <w:rFonts w:ascii="Times New Roman" w:eastAsia="Times New Roman" w:hAnsi="Times New Roman" w:cs="Times New Roman"/>
          <w:color w:val="000000"/>
          <w:sz w:val="24"/>
          <w:szCs w:val="24"/>
        </w:rPr>
        <w:t>Stage IA=</w:t>
      </w:r>
      <w:r w:rsidR="00837C50">
        <w:rPr>
          <w:rFonts w:ascii="Times New Roman" w:eastAsia="Times New Roman" w:hAnsi="Times New Roman" w:cs="Times New Roman"/>
          <w:color w:val="000000"/>
          <w:sz w:val="24"/>
          <w:szCs w:val="24"/>
        </w:rPr>
        <w:t>6; IB=9</w:t>
      </w:r>
      <w:r w:rsidR="00A53FF9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837C50">
        <w:rPr>
          <w:rFonts w:ascii="Times New Roman" w:eastAsia="Times New Roman" w:hAnsi="Times New Roman" w:cs="Times New Roman"/>
          <w:color w:val="000000"/>
          <w:sz w:val="24"/>
          <w:szCs w:val="24"/>
        </w:rPr>
        <w:t>, 2/39 had stage II, 9</w:t>
      </w:r>
      <w:r w:rsidR="00A53F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/39 had Stage III, 11/39 had Stage IV and staging was not known in the </w:t>
      </w:r>
      <w:r w:rsidR="00837C50">
        <w:rPr>
          <w:rFonts w:ascii="Times New Roman" w:eastAsia="Times New Roman" w:hAnsi="Times New Roman" w:cs="Times New Roman"/>
          <w:color w:val="000000"/>
          <w:sz w:val="24"/>
          <w:szCs w:val="24"/>
        </w:rPr>
        <w:t>2 patients</w:t>
      </w:r>
      <w:r w:rsidR="00A53F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722459"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002B32">
        <w:rPr>
          <w:rFonts w:ascii="Times New Roman" w:eastAsia="Times New Roman" w:hAnsi="Times New Roman" w:cs="Times New Roman"/>
          <w:color w:val="000000"/>
          <w:sz w:val="24"/>
          <w:szCs w:val="24"/>
        </w:rPr>
        <w:t>he largest group by histological subtype was ordinary (</w:t>
      </w:r>
      <w:r w:rsidR="00722459">
        <w:rPr>
          <w:rFonts w:ascii="Times New Roman" w:eastAsia="Times New Roman" w:hAnsi="Times New Roman" w:cs="Times New Roman"/>
          <w:color w:val="000000"/>
          <w:sz w:val="24"/>
          <w:szCs w:val="24"/>
        </w:rPr>
        <w:t>n=38)</w:t>
      </w:r>
      <w:r w:rsidRPr="00002B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7224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and one had </w:t>
      </w:r>
      <w:proofErr w:type="spellStart"/>
      <w:r w:rsidR="00722459">
        <w:rPr>
          <w:rFonts w:ascii="Times New Roman" w:eastAsia="Times New Roman" w:hAnsi="Times New Roman" w:cs="Times New Roman"/>
          <w:color w:val="000000"/>
          <w:sz w:val="24"/>
          <w:szCs w:val="24"/>
        </w:rPr>
        <w:t>myxoid</w:t>
      </w:r>
      <w:proofErr w:type="spellEnd"/>
      <w:r w:rsidR="007224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type</w:t>
      </w:r>
      <w:r w:rsidRPr="00002B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B76B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P53 was expressed in 7/39 patients whereas p16 was expressed in 3/37 patients. Estrogen and progesterone receptors were present in 8/39 and 7/39 patients, respectively. </w:t>
      </w:r>
      <w:r w:rsidR="002D1F0B">
        <w:rPr>
          <w:rFonts w:ascii="Times New Roman" w:eastAsia="Times New Roman" w:hAnsi="Times New Roman" w:cs="Times New Roman"/>
          <w:color w:val="000000"/>
          <w:sz w:val="24"/>
          <w:szCs w:val="24"/>
        </w:rPr>
        <w:t>17</w:t>
      </w:r>
      <w:r w:rsidRPr="00002B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patients</w:t>
      </w:r>
      <w:r w:rsidR="00505F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received adjuvant chemotherapy </w:t>
      </w:r>
      <w:r w:rsidRPr="00002B32">
        <w:rPr>
          <w:rFonts w:ascii="Times New Roman" w:eastAsia="Times New Roman" w:hAnsi="Times New Roman" w:cs="Times New Roman"/>
          <w:color w:val="000000"/>
          <w:sz w:val="24"/>
          <w:szCs w:val="24"/>
        </w:rPr>
        <w:t>consisting of gemcitabine and docetaxel</w:t>
      </w:r>
      <w:r w:rsidR="002D1F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or doxorubicin and </w:t>
      </w:r>
      <w:proofErr w:type="spellStart"/>
      <w:r w:rsidR="002D1F0B">
        <w:rPr>
          <w:rFonts w:ascii="Times New Roman" w:eastAsia="Times New Roman" w:hAnsi="Times New Roman" w:cs="Times New Roman"/>
          <w:color w:val="000000"/>
          <w:sz w:val="24"/>
          <w:szCs w:val="24"/>
        </w:rPr>
        <w:t>ifosfamide</w:t>
      </w:r>
      <w:proofErr w:type="spellEnd"/>
      <w:r w:rsidRPr="00002B32">
        <w:rPr>
          <w:rFonts w:ascii="Times New Roman" w:eastAsia="Times New Roman" w:hAnsi="Times New Roman" w:cs="Times New Roman"/>
          <w:color w:val="000000"/>
          <w:sz w:val="24"/>
          <w:szCs w:val="24"/>
        </w:rPr>
        <w:t>. The median</w:t>
      </w:r>
      <w:r w:rsidR="00AB05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observation period was 54 months (range, 24-96</w:t>
      </w:r>
      <w:r w:rsidR="006047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months). </w:t>
      </w:r>
      <w:r w:rsidR="005F3ACD">
        <w:rPr>
          <w:rFonts w:ascii="Times New Roman" w:eastAsia="Times New Roman" w:hAnsi="Times New Roman" w:cs="Times New Roman"/>
          <w:color w:val="000000"/>
          <w:sz w:val="24"/>
          <w:szCs w:val="24"/>
        </w:rPr>
        <w:t>Mean overall survival in the subgroup of patient was 17.3 months.</w:t>
      </w:r>
    </w:p>
    <w:p w:rsidR="00002B32" w:rsidRPr="00002B32" w:rsidRDefault="00184296" w:rsidP="00002B32">
      <w:pPr>
        <w:spacing w:after="0" w:line="360" w:lineRule="auto"/>
        <w:ind w:right="49"/>
        <w:jc w:val="both"/>
        <w:outlineLvl w:val="3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</w:pPr>
      <w:r w:rsidRPr="00002B3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Conclusion:</w:t>
      </w:r>
      <w:r w:rsidR="00002B32" w:rsidRPr="00002B32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 xml:space="preserve"> </w:t>
      </w:r>
    </w:p>
    <w:p w:rsidR="007844A1" w:rsidRDefault="00002B32" w:rsidP="00C43C58">
      <w:pPr>
        <w:spacing w:after="101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2B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ULMS is rare </w:t>
      </w:r>
      <w:r w:rsidR="00C43C58" w:rsidRPr="00C43C58">
        <w:rPr>
          <w:rFonts w:ascii="Times New Roman" w:eastAsia="Times New Roman" w:hAnsi="Times New Roman" w:cs="Times New Roman"/>
          <w:color w:val="000000"/>
          <w:sz w:val="24"/>
          <w:szCs w:val="24"/>
        </w:rPr>
        <w:t>tumor</w:t>
      </w:r>
      <w:r w:rsidRPr="00002B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associated with a poor prognosis, </w:t>
      </w:r>
      <w:r w:rsidR="00C43C58" w:rsidRPr="00C43C58">
        <w:rPr>
          <w:rFonts w:ascii="Times New Roman" w:eastAsia="Times New Roman" w:hAnsi="Times New Roman" w:cs="Times New Roman"/>
          <w:color w:val="000000"/>
          <w:sz w:val="24"/>
          <w:szCs w:val="24"/>
        </w:rPr>
        <w:t>however, the prognosis may vary in premenopausal women</w:t>
      </w:r>
      <w:r w:rsidRPr="00002B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C43C58" w:rsidRPr="00C43C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fraction of patients are positive for hormone receptors. Considering the </w:t>
      </w:r>
      <w:r w:rsidR="00C43C58" w:rsidRPr="00C43C58">
        <w:rPr>
          <w:rFonts w:ascii="Times New Roman" w:hAnsi="Times New Roman" w:cs="Times New Roman"/>
          <w:color w:val="000000"/>
          <w:sz w:val="24"/>
          <w:szCs w:val="24"/>
        </w:rPr>
        <w:t>limited clinical benefit of surgery and adjuvant chemo-radiotherapy, hormonal therapy may show good prospects in premenopausal women.</w:t>
      </w:r>
    </w:p>
    <w:p w:rsidR="00A51F8A" w:rsidRDefault="00A51F8A" w:rsidP="00C43C58">
      <w:pPr>
        <w:spacing w:after="101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51F8A" w:rsidRPr="00A51F8A" w:rsidRDefault="00A51F8A" w:rsidP="00C43C58">
      <w:pPr>
        <w:spacing w:after="101"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51F8A">
        <w:rPr>
          <w:rFonts w:ascii="Times New Roman" w:hAnsi="Times New Roman" w:cs="Times New Roman"/>
          <w:b/>
          <w:color w:val="000000"/>
          <w:sz w:val="24"/>
          <w:szCs w:val="24"/>
        </w:rPr>
        <w:t>Biography:</w:t>
      </w:r>
    </w:p>
    <w:p w:rsidR="00A51F8A" w:rsidRDefault="00A51F8A" w:rsidP="00C43C58">
      <w:pPr>
        <w:spacing w:after="101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Nilanchali Singh is a Clinical and Research Fellow in Gynecologic Oncology at Tom Baker Cancer Center, University of Calgary, Alberta, Canada. She has special interest in cervical, ovarian and endometrial cancer research.</w:t>
      </w:r>
    </w:p>
    <w:p w:rsidR="00A51F8A" w:rsidRPr="00A51F8A" w:rsidRDefault="00A51F8A" w:rsidP="00A51F8A">
      <w:pPr>
        <w:autoSpaceDE w:val="0"/>
        <w:autoSpaceDN w:val="0"/>
        <w:adjustRightInd w:val="0"/>
        <w:rPr>
          <w:rFonts w:ascii="Times New Roman" w:hAnsi="Times New Roman" w:cs="Times New Roman"/>
          <w:b/>
          <w:lang w:val="en-NZ"/>
        </w:rPr>
      </w:pPr>
      <w:r w:rsidRPr="00A51F8A">
        <w:rPr>
          <w:rFonts w:ascii="Times New Roman" w:hAnsi="Times New Roman" w:cs="Times New Roman"/>
          <w:lang w:val="en-NZ"/>
        </w:rPr>
        <w:t xml:space="preserve">Full name: </w:t>
      </w:r>
      <w:r>
        <w:rPr>
          <w:rFonts w:ascii="Times New Roman" w:hAnsi="Times New Roman" w:cs="Times New Roman"/>
          <w:lang w:val="en-NZ"/>
        </w:rPr>
        <w:t>Nilanchali Singh</w:t>
      </w:r>
      <w:r w:rsidRPr="00A51F8A">
        <w:rPr>
          <w:rFonts w:ascii="Times New Roman" w:hAnsi="Times New Roman" w:cs="Times New Roman"/>
          <w:lang w:val="en-NZ"/>
        </w:rPr>
        <w:br/>
        <w:t>Contact number:</w:t>
      </w:r>
      <w:r>
        <w:rPr>
          <w:rFonts w:ascii="Times New Roman" w:hAnsi="Times New Roman" w:cs="Times New Roman"/>
          <w:lang w:val="en-NZ"/>
        </w:rPr>
        <w:t xml:space="preserve"> 8253653168</w:t>
      </w:r>
      <w:r w:rsidRPr="00A51F8A">
        <w:rPr>
          <w:rFonts w:ascii="Times New Roman" w:hAnsi="Times New Roman" w:cs="Times New Roman"/>
          <w:lang w:val="en-NZ"/>
        </w:rPr>
        <w:br/>
        <w:t>Twitter account:</w:t>
      </w:r>
      <w:r>
        <w:rPr>
          <w:rFonts w:ascii="Times New Roman" w:hAnsi="Times New Roman" w:cs="Times New Roman"/>
          <w:lang w:val="en-NZ"/>
        </w:rPr>
        <w:t xml:space="preserve"> None</w:t>
      </w:r>
      <w:r w:rsidRPr="00A51F8A">
        <w:rPr>
          <w:rFonts w:ascii="Times New Roman" w:hAnsi="Times New Roman" w:cs="Times New Roman"/>
          <w:lang w:val="en-NZ"/>
        </w:rPr>
        <w:br/>
        <w:t>Linked In account:</w:t>
      </w:r>
      <w:r>
        <w:rPr>
          <w:rFonts w:ascii="Times New Roman" w:hAnsi="Times New Roman" w:cs="Times New Roman"/>
          <w:lang w:val="en-NZ"/>
        </w:rPr>
        <w:t xml:space="preserve"> None</w:t>
      </w:r>
    </w:p>
    <w:p w:rsidR="00A51F8A" w:rsidRPr="00A51F8A" w:rsidRDefault="00A51F8A" w:rsidP="00A51F8A">
      <w:pPr>
        <w:spacing w:after="101" w:line="360" w:lineRule="auto"/>
        <w:rPr>
          <w:rFonts w:ascii="Times New Roman" w:hAnsi="Times New Roman" w:cs="Times New Roman"/>
          <w:sz w:val="24"/>
          <w:szCs w:val="24"/>
        </w:rPr>
      </w:pPr>
      <w:r w:rsidRPr="00A51F8A">
        <w:rPr>
          <w:rFonts w:ascii="Times New Roman" w:hAnsi="Times New Roman" w:cs="Times New Roman"/>
          <w:lang w:val="en-NZ"/>
        </w:rPr>
        <w:t>Session name/ number</w:t>
      </w:r>
      <w:proofErr w:type="gramStart"/>
      <w:r w:rsidRPr="00A51F8A">
        <w:rPr>
          <w:rFonts w:ascii="Times New Roman" w:hAnsi="Times New Roman" w:cs="Times New Roman"/>
          <w:lang w:val="en-NZ"/>
        </w:rPr>
        <w:t>:</w:t>
      </w:r>
      <w:proofErr w:type="gramEnd"/>
      <w:r w:rsidRPr="00A51F8A">
        <w:rPr>
          <w:rFonts w:ascii="Times New Roman" w:hAnsi="Times New Roman" w:cs="Times New Roman"/>
          <w:lang w:val="en-NZ"/>
        </w:rPr>
        <w:br/>
        <w:t>Category: (Oral presentation/ Poster p</w:t>
      </w:r>
      <w:bookmarkStart w:id="0" w:name="_GoBack"/>
      <w:bookmarkEnd w:id="0"/>
      <w:r w:rsidRPr="00A51F8A">
        <w:rPr>
          <w:rFonts w:ascii="Times New Roman" w:hAnsi="Times New Roman" w:cs="Times New Roman"/>
          <w:lang w:val="en-NZ"/>
        </w:rPr>
        <w:t>resentation)</w:t>
      </w:r>
      <w:r>
        <w:rPr>
          <w:rFonts w:ascii="Times New Roman" w:hAnsi="Times New Roman" w:cs="Times New Roman"/>
          <w:lang w:val="en-NZ"/>
        </w:rPr>
        <w:t xml:space="preserve"> Preferably Oral</w:t>
      </w:r>
    </w:p>
    <w:sectPr w:rsidR="00A51F8A" w:rsidRPr="00A51F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BD5"/>
    <w:rsid w:val="00002B32"/>
    <w:rsid w:val="00184296"/>
    <w:rsid w:val="002D1F0B"/>
    <w:rsid w:val="004062B2"/>
    <w:rsid w:val="00432BD5"/>
    <w:rsid w:val="004E4D72"/>
    <w:rsid w:val="00505F91"/>
    <w:rsid w:val="005F2946"/>
    <w:rsid w:val="005F3ACD"/>
    <w:rsid w:val="00604790"/>
    <w:rsid w:val="00722459"/>
    <w:rsid w:val="007844A1"/>
    <w:rsid w:val="00837C50"/>
    <w:rsid w:val="008408B3"/>
    <w:rsid w:val="00A51F8A"/>
    <w:rsid w:val="00A53FF9"/>
    <w:rsid w:val="00AB0586"/>
    <w:rsid w:val="00B76B28"/>
    <w:rsid w:val="00B949D4"/>
    <w:rsid w:val="00C43C58"/>
    <w:rsid w:val="00CC0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E2EDCD-AAF4-45CD-A0A1-E55ED3414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002B3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002B3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002B3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002B32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02B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">
    <w:name w:val="highlight"/>
    <w:basedOn w:val="DefaultParagraphFont"/>
    <w:rsid w:val="00002B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92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Alberta Health Services</Company>
  <LinksUpToDate>false</LinksUpToDate>
  <CharactersWithSpaces>2658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Nilanchali Singh</dc:creator>
  <cp:keywords/>
  <dc:description/>
  <cp:lastModifiedBy>Nilanchali Singh</cp:lastModifiedBy>
  <cp:revision>21</cp:revision>
  <dcterms:created xsi:type="dcterms:W3CDTF">2019-12-16T18:31:00Z</dcterms:created>
  <dcterms:modified xsi:type="dcterms:W3CDTF">2019-12-16T21:00:00Z</dcterms:modified>
</cp:coreProperties>
</file>