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B32" w:rsidRDefault="00002B32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Title: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A </w:t>
      </w:r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Retrospective Analysis of Uterine </w:t>
      </w:r>
      <w:proofErr w:type="spellStart"/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Leiomyosarcoma</w:t>
      </w:r>
      <w:proofErr w:type="spellEnd"/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 Premenopausal Women in Terms of Gene Expression,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ER </w:t>
      </w:r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PR </w:t>
      </w:r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Expression, Treatment and Overall Survival: </w:t>
      </w:r>
      <w:r w:rsidR="00B94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Experience </w:t>
      </w:r>
      <w:r w:rsidR="001842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of 8 Years from a Canadian Province.</w:t>
      </w:r>
    </w:p>
    <w:p w:rsidR="008408B3" w:rsidRPr="00002B32" w:rsidRDefault="008408B3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Authors: Mohammed Al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Ruwaisan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Prafull Ghatage, </w:t>
      </w:r>
      <w:bookmarkStart w:id="0" w:name="_GoBack"/>
      <w:r w:rsidRPr="008408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Nilanchali Singh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(Presenting Author)</w:t>
      </w:r>
    </w:p>
    <w:p w:rsidR="00002B32" w:rsidRPr="00002B32" w:rsidRDefault="00184296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Aim: </w:t>
      </w:r>
    </w:p>
    <w:p w:rsidR="00002B32" w:rsidRPr="00002B32" w:rsidRDefault="00002B32" w:rsidP="00002B3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Uterine </w:t>
      </w:r>
      <w:proofErr w:type="spellStart"/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leiomyosarcoma</w:t>
      </w:r>
      <w:proofErr w:type="spellEnd"/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a highly lethal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malignancy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affects 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approximately 0.4/100 000 women each year.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this study is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assess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p16 and p53 gene expression, Estrogen &amp; progesterone receptor positivity, treatment and prognosis of women diagnosed with uterine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leiomyosarcoma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2B32" w:rsidRPr="00002B32" w:rsidRDefault="00184296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Methods: </w:t>
      </w:r>
    </w:p>
    <w:p w:rsidR="00002B32" w:rsidRPr="00002B32" w:rsidRDefault="00002B32" w:rsidP="00002B32">
      <w:pPr>
        <w:spacing w:after="10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total of 39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patients were treated at our institution between January 2008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December 2016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was analyzed retrospectively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2B32" w:rsidRPr="00002B32" w:rsidRDefault="00184296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Results: </w:t>
      </w:r>
    </w:p>
    <w:p w:rsidR="00002B32" w:rsidRPr="00002B32" w:rsidRDefault="00002B32" w:rsidP="00002B32">
      <w:pPr>
        <w:spacing w:after="10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median patient age was </w:t>
      </w:r>
      <w:r w:rsidR="00CC0E7E">
        <w:rPr>
          <w:rFonts w:ascii="Times New Roman" w:eastAsia="Times New Roman" w:hAnsi="Times New Roman" w:cs="Times New Roman"/>
          <w:color w:val="000000"/>
          <w:sz w:val="24"/>
          <w:szCs w:val="24"/>
        </w:rPr>
        <w:t>45 years (range, 28-54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years). </w:t>
      </w:r>
      <w:r w:rsidR="00B76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Pre-operative diagnosis of a sarcoma was suspected in 15/39 patients only. </w:t>
      </w:r>
      <w:r w:rsidR="004E4D72"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Total abdominal hysterectomy and bilateral </w:t>
      </w:r>
      <w:proofErr w:type="spellStart"/>
      <w:r w:rsidR="004E4D72"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salpingo</w:t>
      </w:r>
      <w:proofErr w:type="spellEnd"/>
      <w:r w:rsidR="004E4D72"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-oophorectomy were performed for all patients, with additional surgical procedures (e.g., tumor resection, lymphadenectomy) performed if necessary. </w:t>
      </w:r>
      <w:r w:rsidR="004E4D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Lympho-vascular invasion was seen in 6/39 patients. </w:t>
      </w:r>
      <w:r w:rsidR="00837C50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>/39 patients presented with American Joint Committee on Cancer (AJCC) Stage I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disease (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>Stage IA=</w:t>
      </w:r>
      <w:r w:rsidR="00837C50">
        <w:rPr>
          <w:rFonts w:ascii="Times New Roman" w:eastAsia="Times New Roman" w:hAnsi="Times New Roman" w:cs="Times New Roman"/>
          <w:color w:val="000000"/>
          <w:sz w:val="24"/>
          <w:szCs w:val="24"/>
        </w:rPr>
        <w:t>6; IB=9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837C50">
        <w:rPr>
          <w:rFonts w:ascii="Times New Roman" w:eastAsia="Times New Roman" w:hAnsi="Times New Roman" w:cs="Times New Roman"/>
          <w:color w:val="000000"/>
          <w:sz w:val="24"/>
          <w:szCs w:val="24"/>
        </w:rPr>
        <w:t>, 2/39 had stage II, 9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/39 had Stage III, 11/39 had Stage IV and staging was not known in the </w:t>
      </w:r>
      <w:r w:rsidR="00837C50">
        <w:rPr>
          <w:rFonts w:ascii="Times New Roman" w:eastAsia="Times New Roman" w:hAnsi="Times New Roman" w:cs="Times New Roman"/>
          <w:color w:val="000000"/>
          <w:sz w:val="24"/>
          <w:szCs w:val="24"/>
        </w:rPr>
        <w:t>2 patients</w:t>
      </w:r>
      <w:r w:rsidR="00A53F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he largest group by histological subtype was ordinary (</w:t>
      </w:r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>n=38)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one had </w:t>
      </w:r>
      <w:proofErr w:type="spellStart"/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>myxoid</w:t>
      </w:r>
      <w:proofErr w:type="spellEnd"/>
      <w:r w:rsidR="007224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type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B76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P53 was expressed in 7/39 patients whereas p16 was expressed in 3/37 patients. Estrogen and progesterone receptors were present in 8/39 and 7/39 patients, respectively. </w:t>
      </w:r>
      <w:r w:rsidR="002D1F0B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patients</w:t>
      </w:r>
      <w:r w:rsidR="00505F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received adjuvant chemotherapy 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consisting of gemcitabine and docetaxel</w:t>
      </w:r>
      <w:r w:rsidR="002D1F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doxorubicin and </w:t>
      </w:r>
      <w:proofErr w:type="spellStart"/>
      <w:r w:rsidR="002D1F0B">
        <w:rPr>
          <w:rFonts w:ascii="Times New Roman" w:eastAsia="Times New Roman" w:hAnsi="Times New Roman" w:cs="Times New Roman"/>
          <w:color w:val="000000"/>
          <w:sz w:val="24"/>
          <w:szCs w:val="24"/>
        </w:rPr>
        <w:t>ifosfamide</w:t>
      </w:r>
      <w:proofErr w:type="spellEnd"/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>. The median</w:t>
      </w:r>
      <w:r w:rsidR="00AB05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observation period was 54 months (range, 24-96</w:t>
      </w:r>
      <w:r w:rsidR="006047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months). </w:t>
      </w:r>
      <w:r w:rsidR="005F3ACD">
        <w:rPr>
          <w:rFonts w:ascii="Times New Roman" w:eastAsia="Times New Roman" w:hAnsi="Times New Roman" w:cs="Times New Roman"/>
          <w:color w:val="000000"/>
          <w:sz w:val="24"/>
          <w:szCs w:val="24"/>
        </w:rPr>
        <w:t>Mean overall survival in the subgroup of patient was 17.3 months.</w:t>
      </w:r>
    </w:p>
    <w:p w:rsidR="00002B32" w:rsidRPr="00002B32" w:rsidRDefault="00184296" w:rsidP="00002B32">
      <w:pPr>
        <w:spacing w:after="0" w:line="360" w:lineRule="auto"/>
        <w:ind w:right="49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Conclusion:</w:t>
      </w:r>
      <w:r w:rsidR="00002B32" w:rsidRPr="00002B3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 xml:space="preserve"> </w:t>
      </w:r>
    </w:p>
    <w:p w:rsidR="007844A1" w:rsidRPr="00C43C58" w:rsidRDefault="00002B32" w:rsidP="00C43C58">
      <w:pPr>
        <w:spacing w:after="10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ULMS is rare </w:t>
      </w:r>
      <w:r w:rsidR="00C43C58" w:rsidRPr="00C43C58">
        <w:rPr>
          <w:rFonts w:ascii="Times New Roman" w:eastAsia="Times New Roman" w:hAnsi="Times New Roman" w:cs="Times New Roman"/>
          <w:color w:val="000000"/>
          <w:sz w:val="24"/>
          <w:szCs w:val="24"/>
        </w:rPr>
        <w:t>tumor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associated with a poor prognosis, </w:t>
      </w:r>
      <w:r w:rsidR="00C43C58" w:rsidRPr="00C43C58">
        <w:rPr>
          <w:rFonts w:ascii="Times New Roman" w:eastAsia="Times New Roman" w:hAnsi="Times New Roman" w:cs="Times New Roman"/>
          <w:color w:val="000000"/>
          <w:sz w:val="24"/>
          <w:szCs w:val="24"/>
        </w:rPr>
        <w:t>however, the prognosis may vary in premenopausal women</w:t>
      </w:r>
      <w:r w:rsidRPr="00002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43C58" w:rsidRPr="00C4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fraction of patients are positive for hormone receptors. Considering the </w:t>
      </w:r>
      <w:r w:rsidR="00C43C58" w:rsidRPr="00C43C58">
        <w:rPr>
          <w:rFonts w:ascii="Times New Roman" w:hAnsi="Times New Roman" w:cs="Times New Roman"/>
          <w:color w:val="000000"/>
          <w:sz w:val="24"/>
          <w:szCs w:val="24"/>
        </w:rPr>
        <w:t>limited clinical benefit of surgery and adjuvant chemo-radiotherapy, hormonal therapy may show good prospects in premenopausal women.</w:t>
      </w:r>
    </w:p>
    <w:sectPr w:rsidR="007844A1" w:rsidRPr="00C43C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BD5"/>
    <w:rsid w:val="00002B32"/>
    <w:rsid w:val="00184296"/>
    <w:rsid w:val="002D1F0B"/>
    <w:rsid w:val="004062B2"/>
    <w:rsid w:val="00432BD5"/>
    <w:rsid w:val="004E4D72"/>
    <w:rsid w:val="00505F91"/>
    <w:rsid w:val="005F2946"/>
    <w:rsid w:val="005F3ACD"/>
    <w:rsid w:val="00604790"/>
    <w:rsid w:val="00722459"/>
    <w:rsid w:val="007844A1"/>
    <w:rsid w:val="00837C50"/>
    <w:rsid w:val="008408B3"/>
    <w:rsid w:val="00A53FF9"/>
    <w:rsid w:val="00AB0586"/>
    <w:rsid w:val="00B76B28"/>
    <w:rsid w:val="00B949D4"/>
    <w:rsid w:val="00C43C58"/>
    <w:rsid w:val="00CC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E2EDCD-AAF4-45CD-A0A1-E55ED341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02B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02B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02B3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02B3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02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002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2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Alberta Health Services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Nilanchali Singh</dc:creator>
  <cp:keywords/>
  <dc:description/>
  <cp:lastModifiedBy>Nilanchali Singh</cp:lastModifiedBy>
  <cp:revision>20</cp:revision>
  <dcterms:created xsi:type="dcterms:W3CDTF">2019-12-16T18:31:00Z</dcterms:created>
  <dcterms:modified xsi:type="dcterms:W3CDTF">2019-12-16T19:51:00Z</dcterms:modified>
</cp:coreProperties>
</file>