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jc w:val="center"/>
        <w:rPr>
          <w:lang w:val="en-GB"/>
        </w:rPr>
      </w:pPr>
      <w:r>
        <w:rPr>
          <w:lang w:val="en-GB"/>
        </w:rPr>
        <w:t>TITLE</w:t>
      </w:r>
      <w:r>
        <w:rPr>
          <w:lang w:val="en-GB"/>
        </w:rPr>
        <w:t xml:space="preserve">: </w:t>
      </w:r>
      <w:r>
        <w:rPr>
          <w:b/>
          <w:lang w:val="en-GB"/>
        </w:rPr>
        <w:t>6-SHOGAOL A</w:t>
      </w:r>
      <w:r>
        <w:rPr>
          <w:b/>
          <w:lang w:val="en-GB"/>
        </w:rPr>
        <w:t xml:space="preserve">TTENUATES COLONIC TUMORIGENESIS AND </w:t>
      </w:r>
      <w:r>
        <w:rPr>
          <w:b/>
          <w:lang w:val="en-GB"/>
        </w:rPr>
        <w:t>OXIDOINFLAMMATORY</w:t>
      </w:r>
      <w:r>
        <w:rPr>
          <w:b/>
          <w:lang w:val="en-GB"/>
        </w:rPr>
        <w:t xml:space="preserve"> RESPONSE</w:t>
      </w:r>
      <w:r>
        <w:rPr>
          <w:b/>
          <w:lang w:val="en-GB"/>
        </w:rPr>
        <w:t xml:space="preserve"> IN MALE BALB/c MICE</w:t>
      </w:r>
    </w:p>
    <w:p>
      <w:pPr>
        <w:pStyle w:val="style0"/>
        <w:jc w:val="center"/>
        <w:rPr>
          <w:lang w:val="en-GB"/>
        </w:rPr>
      </w:pPr>
      <w:r>
        <w:rPr>
          <w:lang w:val="en-GB"/>
        </w:rPr>
        <w:t>DA ANYEBE</w:t>
      </w:r>
      <w:r>
        <w:rPr>
          <w:vertAlign w:val="superscript"/>
          <w:lang w:val="en-GB"/>
        </w:rPr>
        <w:t>1</w:t>
      </w:r>
      <w:r>
        <w:rPr>
          <w:lang w:val="en-GB"/>
        </w:rPr>
        <w:t xml:space="preserve">, </w:t>
      </w:r>
      <w:r>
        <w:rPr>
          <w:lang w:val="en-GB"/>
        </w:rPr>
        <w:t>OF AJEIGBE</w:t>
      </w:r>
      <w:r>
        <w:rPr>
          <w:vertAlign w:val="superscript"/>
          <w:lang w:val="en-GB"/>
        </w:rPr>
        <w:t>2</w:t>
      </w:r>
      <w:r>
        <w:rPr>
          <w:lang w:val="en-GB"/>
        </w:rPr>
        <w:t>, IT OPAFUNSO</w:t>
      </w:r>
      <w:r>
        <w:rPr>
          <w:vertAlign w:val="superscript"/>
          <w:lang w:val="en-GB"/>
        </w:rPr>
        <w:t>2</w:t>
      </w:r>
      <w:r>
        <w:rPr>
          <w:lang w:val="en-GB"/>
        </w:rPr>
        <w:t>,OR</w:t>
      </w:r>
      <w:r>
        <w:rPr>
          <w:lang w:val="en-GB"/>
        </w:rPr>
        <w:t xml:space="preserve"> MARUF</w:t>
      </w:r>
      <w:r>
        <w:rPr>
          <w:vertAlign w:val="superscript"/>
          <w:lang w:val="en-GB"/>
        </w:rPr>
        <w:t>2</w:t>
      </w:r>
      <w:r>
        <w:rPr>
          <w:lang w:val="en-GB"/>
        </w:rPr>
        <w:t xml:space="preserve">, </w:t>
      </w:r>
      <w:r>
        <w:rPr>
          <w:lang w:val="en-GB"/>
        </w:rPr>
        <w:t>BO AJAYI</w:t>
      </w:r>
      <w:r>
        <w:rPr>
          <w:vertAlign w:val="superscript"/>
          <w:lang w:val="en-GB"/>
        </w:rPr>
        <w:t>2</w:t>
      </w:r>
      <w:r>
        <w:rPr>
          <w:lang w:val="en-GB"/>
        </w:rPr>
        <w:t xml:space="preserve"> </w:t>
      </w:r>
      <w:r>
        <w:rPr>
          <w:lang w:val="en-GB"/>
        </w:rPr>
        <w:t xml:space="preserve">and </w:t>
      </w:r>
      <w:r>
        <w:rPr>
          <w:lang w:val="en-GB"/>
        </w:rPr>
        <w:t>EO FAROMBI</w:t>
      </w:r>
      <w:r>
        <w:rPr>
          <w:vertAlign w:val="superscript"/>
          <w:lang w:val="en-GB"/>
        </w:rPr>
        <w:t>2</w:t>
      </w:r>
    </w:p>
    <w:p>
      <w:pPr>
        <w:pStyle w:val="style0"/>
        <w:jc w:val="center"/>
        <w:rPr>
          <w:lang w:val="en-GB"/>
        </w:rPr>
      </w:pPr>
      <w:r>
        <w:rPr>
          <w:vertAlign w:val="superscript"/>
          <w:lang w:val="en-GB"/>
        </w:rPr>
        <w:t>1</w:t>
      </w:r>
      <w:r>
        <w:rPr>
          <w:vertAlign w:val="superscript"/>
          <w:lang w:val="en-GB"/>
        </w:rPr>
        <w:t xml:space="preserve"> </w:t>
      </w:r>
      <w:r>
        <w:rPr>
          <w:lang w:val="en-GB"/>
        </w:rPr>
        <w:t xml:space="preserve">Department of biochemistry and molecular biology, </w:t>
      </w:r>
      <w:r>
        <w:rPr>
          <w:lang w:val="en-GB"/>
        </w:rPr>
        <w:t>F</w:t>
      </w:r>
      <w:r>
        <w:rPr>
          <w:lang w:val="en-GB"/>
        </w:rPr>
        <w:t xml:space="preserve">ederal university </w:t>
      </w:r>
      <w:r>
        <w:rPr>
          <w:lang w:val="en-GB"/>
        </w:rPr>
        <w:t>Birnin</w:t>
      </w:r>
      <w:r>
        <w:rPr>
          <w:lang w:val="en-GB"/>
        </w:rPr>
        <w:t xml:space="preserve"> kebbi, PMB 1157, Birnin-kebbi, Kebbi state Nigeria</w:t>
      </w:r>
    </w:p>
    <w:p>
      <w:pPr>
        <w:pStyle w:val="style0"/>
        <w:jc w:val="center"/>
        <w:rPr>
          <w:lang w:val="en-GB"/>
        </w:rPr>
      </w:pPr>
      <w:r>
        <w:rPr>
          <w:vertAlign w:val="superscript"/>
          <w:lang w:val="en-GB"/>
        </w:rPr>
        <w:t>2</w:t>
      </w:r>
      <w:r>
        <w:rPr>
          <w:lang w:val="en-GB"/>
        </w:rPr>
        <w:t xml:space="preserve"> Department of biochemistry, faculty of basic medical sciences, University of Ibadan, Ibadan Nigeria</w:t>
      </w:r>
    </w:p>
    <w:p>
      <w:pPr>
        <w:pStyle w:val="style0"/>
        <w:rPr>
          <w:bCs/>
          <w:lang w:val="en-GB"/>
        </w:rPr>
      </w:pPr>
      <w:r>
        <w:rPr>
          <w:lang w:val="en-GB"/>
        </w:rPr>
        <w:t xml:space="preserve">Colorectal cancer (CRC) is the fourth leading cause of cancer related mortality worldwide.  Several complications such as male reproductive dysfunction have been associated with increased incidence and prevalence of colorectal cancer. Adverse effects have been associated with the treatment of colorectal cancer using the available therapeutic agents.  A bioactive component of </w:t>
      </w:r>
      <w:r>
        <w:rPr>
          <w:i/>
        </w:rPr>
        <w:t>Zingiber</w:t>
      </w:r>
      <w:r>
        <w:rPr>
          <w:i/>
        </w:rPr>
        <w:t xml:space="preserve"> </w:t>
      </w:r>
      <w:r>
        <w:rPr>
          <w:i/>
        </w:rPr>
        <w:t>officinale</w:t>
      </w:r>
      <w:r>
        <w:rPr>
          <w:i/>
        </w:rPr>
        <w:t xml:space="preserve">, </w:t>
      </w:r>
      <w:r>
        <w:t>6-Shogaol</w:t>
      </w:r>
      <w:r>
        <w:rPr>
          <w:i/>
        </w:rPr>
        <w:t xml:space="preserve"> </w:t>
      </w:r>
      <w:r>
        <w:rPr>
          <w:lang w:val="en-GB"/>
        </w:rPr>
        <w:t>(6-S) has been reported to be biologically active in experimental models. However, there are limited information reg</w:t>
      </w:r>
      <w:r>
        <w:rPr>
          <w:lang w:val="en-GB"/>
        </w:rPr>
        <w:t>arding the effect of 6-S on CRC.</w:t>
      </w:r>
      <w:r>
        <w:rPr>
          <w:bCs/>
          <w:lang w:val="en-GB"/>
        </w:rPr>
        <w:t xml:space="preserve">This study therefore investigated the biological </w:t>
      </w:r>
      <w:r>
        <w:rPr>
          <w:bCs/>
          <w:lang w:val="en-GB"/>
        </w:rPr>
        <w:t>activity of 6-S on CRC</w:t>
      </w:r>
      <w:r>
        <w:rPr>
          <w:bCs/>
          <w:lang w:val="en-GB"/>
        </w:rPr>
        <w:t>.</w:t>
      </w:r>
    </w:p>
    <w:p>
      <w:pPr>
        <w:pStyle w:val="style0"/>
        <w:rPr>
          <w:bCs/>
          <w:lang w:val="en-GB"/>
        </w:rPr>
      </w:pPr>
      <w:r>
        <w:rPr>
          <w:bCs/>
          <w:lang w:val="en-GB"/>
        </w:rPr>
        <w:t xml:space="preserve">Sixty male BALB/c mice (19±3g) were used for this experiment. Animals were divided into four groups </w:t>
      </w:r>
      <w:r>
        <w:rPr>
          <w:bCs/>
          <w:lang w:val="en-GB"/>
        </w:rPr>
        <w:t xml:space="preserve">(n=15). Groups 1 and 2 were administered corn oil (2mL/kg) and 6-S (20 mg/kg) orally for 16 weeks. Groups 3 and 4 received a single dose of AOM (10mg/kg, </w:t>
      </w:r>
      <w:r>
        <w:rPr>
          <w:b/>
          <w:bCs/>
          <w:i/>
          <w:lang w:val="en-GB"/>
        </w:rPr>
        <w:t>i</w:t>
      </w:r>
      <w:r>
        <w:rPr>
          <w:b/>
          <w:bCs/>
          <w:lang w:val="en-GB"/>
        </w:rPr>
        <w:t>P</w:t>
      </w:r>
      <w:r>
        <w:rPr>
          <w:bCs/>
          <w:lang w:val="en-GB"/>
        </w:rPr>
        <w:t xml:space="preserve">) and 3 cycles of dextran sulphate sodium (DSS) (2% w/v), singly (group 3) or in combination with 6-S (20 mg/kg) (group 4) for 16 weeks. </w:t>
      </w:r>
      <w:r>
        <w:rPr>
          <w:bCs/>
        </w:rPr>
        <w:t xml:space="preserve">Biomarkers of CRC such as </w:t>
      </w:r>
      <w:r>
        <w:rPr>
          <w:bCs/>
        </w:rPr>
        <w:t xml:space="preserve">oxidative stress, inflammation, cell proliferation were assessed </w:t>
      </w:r>
      <w:r>
        <w:rPr>
          <w:bCs/>
        </w:rPr>
        <w:t xml:space="preserve"> </w:t>
      </w:r>
      <w:r>
        <w:rPr>
          <w:bCs/>
        </w:rPr>
        <w:t xml:space="preserve"> colon tissues by microscopy, ELISA and spectrophotometric techniques. Data were analyzed using ANOVA at </w:t>
      </w:r>
      <w:r>
        <w:rPr>
          <w:vertAlign w:val="subscript"/>
        </w:rPr>
        <w:t xml:space="preserve">P = 0.05. </w:t>
      </w:r>
    </w:p>
    <w:p>
      <w:pPr>
        <w:pStyle w:val="style0"/>
        <w:rPr>
          <w:lang w:val="en-GB"/>
        </w:rPr>
      </w:pPr>
      <w:r>
        <w:rPr>
          <w:lang w:val="en-GB"/>
        </w:rPr>
        <w:t xml:space="preserve"> T</w:t>
      </w:r>
      <w:r>
        <w:rPr>
          <w:lang w:val="en-GB"/>
        </w:rPr>
        <w:t xml:space="preserve">umour incidence, ulcerated adenocarcinoma, tumour necrosis factor alpha, Ki-67 protein, </w:t>
      </w:r>
      <w:r>
        <w:rPr>
          <w:lang w:val="en-GB"/>
        </w:rPr>
        <w:t>carcinoembrayonic</w:t>
      </w:r>
      <w:r>
        <w:rPr>
          <w:lang w:val="en-GB"/>
        </w:rPr>
        <w:t xml:space="preserve"> antigen, nitric oxide levels, lipid peroxidation and myeloperoxidase activity were significantly suppressed with pre-treatment with 6-S when compared with the mice treated with AOM/DSS alone. Additionally, glycogen synthase kinase 3β, CAT, SOD, GPx activities and GSH level decreased in mice that received AOM/DSS only. This decrease was conversely prevented in 6-S pre-treated mice.</w:t>
      </w:r>
    </w:p>
    <w:p>
      <w:pPr>
        <w:pStyle w:val="style0"/>
        <w:rPr>
          <w:bCs/>
        </w:rPr>
      </w:pPr>
      <w:r>
        <w:t xml:space="preserve">In conclusion, 6-Shogaol showed chemoprotective effect on </w:t>
      </w:r>
      <w:r>
        <w:rPr>
          <w:bCs/>
        </w:rPr>
        <w:t xml:space="preserve">AOM/DSS induced adenocarcinoma </w:t>
      </w:r>
      <w:r>
        <w:rPr>
          <w:bCs/>
        </w:rPr>
        <w:t>and colorectal</w:t>
      </w:r>
      <w:r>
        <w:rPr>
          <w:bCs/>
        </w:rPr>
        <w:t xml:space="preserve"> cancer</w:t>
      </w:r>
      <w:r>
        <w:rPr>
          <w:bCs/>
        </w:rPr>
        <w:t xml:space="preserve"> </w:t>
      </w:r>
      <w:r>
        <w:rPr>
          <w:bCs/>
        </w:rPr>
        <w:t xml:space="preserve">in </w:t>
      </w:r>
      <w:r>
        <w:rPr>
          <w:bCs/>
        </w:rPr>
        <w:t>mice through its antioxidant, anti-proliferative and</w:t>
      </w:r>
      <w:bookmarkStart w:id="0" w:name="_GoBack"/>
      <w:bookmarkEnd w:id="0"/>
      <w:r>
        <w:rPr>
          <w:bCs/>
        </w:rPr>
        <w:t xml:space="preserve"> anti-inflammatory properties. Thus, </w:t>
      </w:r>
      <w:r>
        <w:t xml:space="preserve">6-Shogaol </w:t>
      </w:r>
      <w:r>
        <w:rPr>
          <w:bCs/>
        </w:rPr>
        <w:t xml:space="preserve">could be </w:t>
      </w:r>
      <w:r>
        <w:rPr>
          <w:bCs/>
        </w:rPr>
        <w:t>a</w:t>
      </w:r>
      <w:r>
        <w:rPr>
          <w:bCs/>
        </w:rPr>
        <w:t xml:space="preserve"> </w:t>
      </w:r>
      <w:r>
        <w:rPr>
          <w:bCs/>
        </w:rPr>
        <w:t>a</w:t>
      </w:r>
      <w:r>
        <w:rPr>
          <w:bCs/>
        </w:rPr>
        <w:t xml:space="preserve"> potential </w:t>
      </w:r>
      <w:r>
        <w:rPr>
          <w:bCs/>
        </w:rPr>
        <w:t>phyto</w:t>
      </w:r>
      <w:r>
        <w:rPr>
          <w:bCs/>
        </w:rPr>
        <w:t>-compound</w:t>
      </w:r>
      <w:r>
        <w:rPr>
          <w:bCs/>
        </w:rPr>
        <w:t xml:space="preserve"> for use in the prevention and m</w:t>
      </w:r>
      <w:r>
        <w:rPr>
          <w:bCs/>
        </w:rPr>
        <w:t>anagement of colorectal cancer</w:t>
      </w:r>
      <w:r>
        <w:rPr>
          <w:bCs/>
        </w:rPr>
        <w:t xml:space="preserve">. </w:t>
      </w:r>
    </w:p>
    <w:p/>
    <w:p>
      <w:pPr>
        <w:pStyle w:val="style0"/>
        <w:rPr>
          <w:bCs/>
          <w:lang w:val="en-GB"/>
        </w:rPr>
      </w:pPr>
    </w:p>
    <w:p/>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20002A87" w:usb1="00000000" w:usb2="00000000"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Words>350</Words>
  <Characters>2092</Characters>
  <Application>WPS Office</Application>
  <DocSecurity>0</DocSecurity>
  <Paragraphs>12</Paragraphs>
  <ScaleCrop>false</ScaleCrop>
  <LinksUpToDate>false</LinksUpToDate>
  <CharactersWithSpaces>2437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2008-01-02T21:39:00Z</dcterms:created>
  <dc:creator>user</dc:creator>
  <lastModifiedBy>N-103</lastModifiedBy>
  <dcterms:modified xsi:type="dcterms:W3CDTF">2019-11-14T14:54:39Z</dcterms:modified>
  <revision>9</revision>
</coreProperties>
</file>