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4B2" w:rsidRPr="00FE24B2" w:rsidRDefault="00DF056F" w:rsidP="00FE24B2">
      <w:pPr>
        <w:spacing w:line="360" w:lineRule="auto"/>
        <w:rPr>
          <w:rFonts w:ascii="Times New Roman" w:hAnsi="Times New Roman" w:cs="Times New Roman"/>
          <w:smallCaps/>
          <w:sz w:val="28"/>
          <w:szCs w:val="28"/>
        </w:rPr>
      </w:pPr>
      <w:r w:rsidRPr="00FE24B2">
        <w:rPr>
          <w:rFonts w:ascii="Times New Roman" w:hAnsi="Times New Roman" w:cs="Times New Roman"/>
          <w:b/>
          <w:bCs/>
          <w:smallCaps/>
          <w:sz w:val="28"/>
          <w:szCs w:val="28"/>
          <w:lang w:val="en-US"/>
        </w:rPr>
        <w:t xml:space="preserve">ANALYSES </w:t>
      </w:r>
      <w:r w:rsidR="00FE24B2" w:rsidRPr="00FE24B2">
        <w:rPr>
          <w:rFonts w:ascii="Times New Roman" w:hAnsi="Times New Roman" w:cs="Times New Roman"/>
          <w:b/>
          <w:bCs/>
          <w:smallCaps/>
          <w:sz w:val="28"/>
          <w:szCs w:val="28"/>
          <w:lang w:val="en-US"/>
        </w:rPr>
        <w:t xml:space="preserve"> </w:t>
      </w:r>
      <w:r w:rsidRPr="00FE24B2">
        <w:rPr>
          <w:rFonts w:ascii="Times New Roman" w:hAnsi="Times New Roman" w:cs="Times New Roman"/>
          <w:b/>
          <w:bCs/>
          <w:smallCaps/>
          <w:sz w:val="28"/>
          <w:szCs w:val="28"/>
          <w:lang w:val="en-US"/>
        </w:rPr>
        <w:t xml:space="preserve">OF </w:t>
      </w:r>
      <w:r w:rsidR="00FE24B2" w:rsidRPr="00FE24B2">
        <w:rPr>
          <w:rFonts w:ascii="Times New Roman" w:hAnsi="Times New Roman" w:cs="Times New Roman"/>
          <w:b/>
          <w:bCs/>
          <w:smallCaps/>
          <w:sz w:val="28"/>
          <w:szCs w:val="28"/>
          <w:lang w:val="en-US"/>
        </w:rPr>
        <w:t xml:space="preserve"> </w:t>
      </w:r>
      <w:r w:rsidR="00FE24B2" w:rsidRPr="00FE24B2">
        <w:rPr>
          <w:rFonts w:ascii="Times New Roman" w:hAnsi="Times New Roman" w:cs="Times New Roman"/>
          <w:b/>
          <w:bCs/>
          <w:caps/>
          <w:sz w:val="28"/>
          <w:szCs w:val="28"/>
          <w:lang w:val="en-US"/>
        </w:rPr>
        <w:t>routinely tested</w:t>
      </w:r>
      <w:r w:rsidR="00FE24B2" w:rsidRPr="00FE24B2">
        <w:rPr>
          <w:rFonts w:ascii="Times New Roman" w:hAnsi="Times New Roman" w:cs="Times New Roman"/>
          <w:b/>
          <w:bCs/>
          <w:smallCaps/>
          <w:sz w:val="28"/>
          <w:szCs w:val="28"/>
          <w:lang w:val="en-US"/>
        </w:rPr>
        <w:t xml:space="preserve"> </w:t>
      </w:r>
      <w:r w:rsidRPr="00FE24B2">
        <w:rPr>
          <w:rFonts w:ascii="Times New Roman" w:hAnsi="Times New Roman" w:cs="Times New Roman"/>
          <w:b/>
          <w:bCs/>
          <w:smallCaps/>
          <w:sz w:val="28"/>
          <w:szCs w:val="28"/>
          <w:lang w:val="en-US"/>
        </w:rPr>
        <w:t>TUMOR MARKERS</w:t>
      </w:r>
      <w:r w:rsidR="00FE24B2" w:rsidRPr="00FE24B2">
        <w:rPr>
          <w:rFonts w:ascii="Times New Roman" w:hAnsi="Times New Roman" w:cs="Times New Roman"/>
          <w:b/>
          <w:bCs/>
          <w:smallCaps/>
          <w:sz w:val="28"/>
          <w:szCs w:val="28"/>
          <w:lang w:val="en-US"/>
        </w:rPr>
        <w:t xml:space="preserve">, </w:t>
      </w:r>
      <w:r w:rsidR="00FE24B2">
        <w:rPr>
          <w:rFonts w:ascii="Times New Roman" w:hAnsi="Times New Roman" w:cs="Times New Roman"/>
          <w:b/>
          <w:bCs/>
          <w:smallCaps/>
          <w:sz w:val="28"/>
          <w:szCs w:val="28"/>
          <w:lang w:val="en-US"/>
        </w:rPr>
        <w:t xml:space="preserve"> </w:t>
      </w:r>
      <w:r w:rsidR="00FE24B2" w:rsidRPr="00FE24B2">
        <w:rPr>
          <w:rFonts w:ascii="Times New Roman" w:hAnsi="Times New Roman" w:cs="Times New Roman"/>
          <w:b/>
          <w:bCs/>
          <w:smallCaps/>
          <w:sz w:val="28"/>
          <w:szCs w:val="28"/>
          <w:lang w:val="en-US"/>
        </w:rPr>
        <w:t xml:space="preserve">QUALITY CONTROL OF THE LABORATORY </w:t>
      </w:r>
    </w:p>
    <w:p w:rsidR="00DF056F" w:rsidRPr="00DF056F" w:rsidRDefault="00DF056F" w:rsidP="00DF056F">
      <w:pPr>
        <w:spacing w:line="360" w:lineRule="auto"/>
        <w:rPr>
          <w:rFonts w:ascii="Times New Roman" w:hAnsi="Times New Roman" w:cs="Times New Roman"/>
          <w:sz w:val="24"/>
          <w:szCs w:val="24"/>
        </w:rPr>
      </w:pP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sz w:val="24"/>
          <w:szCs w:val="24"/>
          <w:lang w:val="en-US"/>
        </w:rPr>
        <w:t xml:space="preserve">MELUŠ </w:t>
      </w:r>
      <w:proofErr w:type="spellStart"/>
      <w:r w:rsidRPr="00DF056F">
        <w:rPr>
          <w:rFonts w:ascii="Times New Roman" w:hAnsi="Times New Roman" w:cs="Times New Roman"/>
          <w:sz w:val="24"/>
          <w:szCs w:val="24"/>
          <w:lang w:val="en-US"/>
        </w:rPr>
        <w:t>Vladimír</w:t>
      </w:r>
      <w:proofErr w:type="spellEnd"/>
      <w:r w:rsidRPr="00DF056F">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005E71ED">
        <w:rPr>
          <w:rFonts w:ascii="Times New Roman" w:hAnsi="Times New Roman" w:cs="Times New Roman"/>
          <w:sz w:val="24"/>
          <w:szCs w:val="24"/>
          <w:lang w:val="en-US"/>
        </w:rPr>
        <w:t xml:space="preserve">SLOBODNÍKOVÁ Jana, </w:t>
      </w:r>
      <w:r w:rsidRPr="00DF056F">
        <w:rPr>
          <w:rFonts w:ascii="Times New Roman" w:hAnsi="Times New Roman" w:cs="Times New Roman"/>
          <w:sz w:val="24"/>
          <w:szCs w:val="24"/>
          <w:lang w:val="en-US"/>
        </w:rPr>
        <w:t xml:space="preserve">KRAJČOVIČOVÁ </w:t>
      </w:r>
      <w:proofErr w:type="spellStart"/>
      <w:r w:rsidRPr="00DF056F">
        <w:rPr>
          <w:rFonts w:ascii="Times New Roman" w:hAnsi="Times New Roman" w:cs="Times New Roman"/>
          <w:sz w:val="24"/>
          <w:szCs w:val="24"/>
          <w:lang w:val="en-US"/>
        </w:rPr>
        <w:t>Zdenka</w:t>
      </w:r>
      <w:proofErr w:type="spellEnd"/>
      <w:r w:rsidRPr="00DF056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KAŠLÍKOVÁ </w:t>
      </w:r>
      <w:proofErr w:type="spellStart"/>
      <w:r>
        <w:rPr>
          <w:rFonts w:ascii="Times New Roman" w:hAnsi="Times New Roman" w:cs="Times New Roman"/>
          <w:sz w:val="24"/>
          <w:szCs w:val="24"/>
          <w:lang w:val="en-US"/>
        </w:rPr>
        <w:t>Katarína</w:t>
      </w:r>
      <w:proofErr w:type="spellEnd"/>
    </w:p>
    <w:p w:rsidR="00DF056F" w:rsidRPr="005E71ED"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i/>
          <w:iCs/>
          <w:sz w:val="24"/>
          <w:szCs w:val="24"/>
          <w:lang w:val="en-US"/>
        </w:rPr>
        <w:t xml:space="preserve">Faculty of Healthcare, Alexander </w:t>
      </w:r>
      <w:proofErr w:type="spellStart"/>
      <w:r w:rsidRPr="00DF056F">
        <w:rPr>
          <w:rFonts w:ascii="Times New Roman" w:hAnsi="Times New Roman" w:cs="Times New Roman"/>
          <w:i/>
          <w:iCs/>
          <w:sz w:val="24"/>
          <w:szCs w:val="24"/>
          <w:lang w:val="en-US"/>
        </w:rPr>
        <w:t>Dubček</w:t>
      </w:r>
      <w:proofErr w:type="spellEnd"/>
      <w:r w:rsidRPr="00DF056F">
        <w:rPr>
          <w:rFonts w:ascii="Times New Roman" w:hAnsi="Times New Roman" w:cs="Times New Roman"/>
          <w:i/>
          <w:iCs/>
          <w:sz w:val="24"/>
          <w:szCs w:val="24"/>
          <w:lang w:val="en-US"/>
        </w:rPr>
        <w:t xml:space="preserve"> University of </w:t>
      </w:r>
      <w:proofErr w:type="spellStart"/>
      <w:r w:rsidRPr="00DF056F">
        <w:rPr>
          <w:rFonts w:ascii="Times New Roman" w:hAnsi="Times New Roman" w:cs="Times New Roman"/>
          <w:i/>
          <w:iCs/>
          <w:sz w:val="24"/>
          <w:szCs w:val="24"/>
          <w:lang w:val="en-US"/>
        </w:rPr>
        <w:t>Trenčín</w:t>
      </w:r>
      <w:proofErr w:type="spellEnd"/>
      <w:r w:rsidRPr="00DF056F">
        <w:rPr>
          <w:rFonts w:ascii="Times New Roman" w:hAnsi="Times New Roman" w:cs="Times New Roman"/>
          <w:i/>
          <w:iCs/>
          <w:sz w:val="24"/>
          <w:szCs w:val="24"/>
        </w:rPr>
        <w:t>, Slovakia</w:t>
      </w:r>
    </w:p>
    <w:p w:rsidR="00DF056F" w:rsidRPr="00DF056F" w:rsidRDefault="00DF056F" w:rsidP="00DF056F">
      <w:pPr>
        <w:spacing w:line="360" w:lineRule="auto"/>
        <w:rPr>
          <w:rFonts w:ascii="Times New Roman" w:hAnsi="Times New Roman" w:cs="Times New Roman"/>
          <w:smallCaps/>
          <w:sz w:val="24"/>
          <w:szCs w:val="24"/>
          <w:lang w:val="en-US"/>
        </w:rPr>
      </w:pPr>
      <w:proofErr w:type="spellStart"/>
      <w:r w:rsidRPr="00DF056F">
        <w:rPr>
          <w:rFonts w:ascii="Times New Roman" w:hAnsi="Times New Roman" w:cs="Times New Roman"/>
          <w:smallCaps/>
          <w:sz w:val="24"/>
          <w:szCs w:val="24"/>
          <w:lang w:val="en-US"/>
        </w:rPr>
        <w:t>Backround</w:t>
      </w:r>
      <w:proofErr w:type="spellEnd"/>
      <w:r>
        <w:rPr>
          <w:rFonts w:ascii="Times New Roman" w:hAnsi="Times New Roman" w:cs="Times New Roman"/>
          <w:smallCaps/>
          <w:sz w:val="24"/>
          <w:szCs w:val="24"/>
          <w:lang w:val="en-US"/>
        </w:rPr>
        <w:t xml:space="preserve"> </w:t>
      </w: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sz w:val="24"/>
          <w:szCs w:val="24"/>
          <w:lang w:val="en-US"/>
        </w:rPr>
        <w:t xml:space="preserve">Tumor markers are an important tools in laboratory diagnostics of cancer diseases, which allows us continual supervision of patients´ stage and its time-dynamics. Thanks to this laboratory parameters, </w:t>
      </w:r>
      <w:proofErr w:type="spellStart"/>
      <w:r w:rsidRPr="00DF056F">
        <w:rPr>
          <w:rFonts w:ascii="Times New Roman" w:hAnsi="Times New Roman" w:cs="Times New Roman"/>
          <w:sz w:val="24"/>
          <w:szCs w:val="24"/>
          <w:lang w:val="en-US"/>
        </w:rPr>
        <w:t>recidiving</w:t>
      </w:r>
      <w:proofErr w:type="spellEnd"/>
      <w:r w:rsidRPr="00DF056F">
        <w:rPr>
          <w:rFonts w:ascii="Times New Roman" w:hAnsi="Times New Roman" w:cs="Times New Roman"/>
          <w:sz w:val="24"/>
          <w:szCs w:val="24"/>
          <w:lang w:val="en-US"/>
        </w:rPr>
        <w:t xml:space="preserve"> diseases can be treated significantly earlier. In our study we evaluated routinely tested tumor markers CA125, Ca199, CEA, PSA, AFP, HCG </w:t>
      </w:r>
      <w:r w:rsidRPr="00DF056F">
        <w:rPr>
          <w:rFonts w:ascii="Times New Roman" w:hAnsi="Times New Roman" w:cs="Times New Roman"/>
          <w:sz w:val="24"/>
          <w:szCs w:val="24"/>
        </w:rPr>
        <w:t xml:space="preserve">and </w:t>
      </w:r>
      <w:r w:rsidRPr="00DF056F">
        <w:rPr>
          <w:rFonts w:ascii="Times New Roman" w:hAnsi="Times New Roman" w:cs="Times New Roman"/>
          <w:sz w:val="24"/>
          <w:szCs w:val="24"/>
          <w:lang w:val="en-US"/>
        </w:rPr>
        <w:t xml:space="preserve">Ca153 with emphasis on their diagnostic value in clinical practice. </w:t>
      </w:r>
    </w:p>
    <w:p w:rsidR="003A254C" w:rsidRPr="00DF056F" w:rsidRDefault="00DF056F" w:rsidP="00DF056F">
      <w:pPr>
        <w:spacing w:line="360" w:lineRule="auto"/>
        <w:rPr>
          <w:rFonts w:ascii="Times New Roman" w:hAnsi="Times New Roman" w:cs="Times New Roman"/>
          <w:smallCaps/>
          <w:sz w:val="24"/>
          <w:szCs w:val="24"/>
        </w:rPr>
      </w:pPr>
      <w:proofErr w:type="spellStart"/>
      <w:r w:rsidRPr="00DF056F">
        <w:rPr>
          <w:rFonts w:ascii="Times New Roman" w:hAnsi="Times New Roman" w:cs="Times New Roman"/>
          <w:smallCaps/>
          <w:sz w:val="24"/>
          <w:szCs w:val="24"/>
        </w:rPr>
        <w:t>Aim</w:t>
      </w:r>
      <w:proofErr w:type="spellEnd"/>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sz w:val="24"/>
          <w:szCs w:val="24"/>
          <w:lang w:val="en-US"/>
        </w:rPr>
        <w:t xml:space="preserve">The goal of our </w:t>
      </w:r>
      <w:proofErr w:type="spellStart"/>
      <w:r w:rsidRPr="00DF056F">
        <w:rPr>
          <w:rFonts w:ascii="Times New Roman" w:hAnsi="Times New Roman" w:cs="Times New Roman"/>
          <w:sz w:val="24"/>
          <w:szCs w:val="24"/>
          <w:lang w:val="en-US"/>
        </w:rPr>
        <w:t>preliminar</w:t>
      </w:r>
      <w:proofErr w:type="spellEnd"/>
      <w:r w:rsidRPr="00DF056F">
        <w:rPr>
          <w:rFonts w:ascii="Times New Roman" w:hAnsi="Times New Roman" w:cs="Times New Roman"/>
          <w:sz w:val="24"/>
          <w:szCs w:val="24"/>
          <w:lang w:val="en-US"/>
        </w:rPr>
        <w:t xml:space="preserve"> study was to verify the informational quality of tested parameters in terms of precision, accuracy and reliability of results with the aim of the external quality control (EQC).</w:t>
      </w:r>
    </w:p>
    <w:p w:rsidR="00DF056F" w:rsidRPr="00DF056F" w:rsidRDefault="00DF056F" w:rsidP="00DF056F">
      <w:pPr>
        <w:spacing w:line="360" w:lineRule="auto"/>
        <w:rPr>
          <w:rFonts w:ascii="Times New Roman" w:hAnsi="Times New Roman" w:cs="Times New Roman"/>
          <w:smallCaps/>
          <w:sz w:val="24"/>
          <w:szCs w:val="24"/>
        </w:rPr>
      </w:pPr>
      <w:proofErr w:type="spellStart"/>
      <w:r w:rsidRPr="00DF056F">
        <w:rPr>
          <w:rFonts w:ascii="Times New Roman" w:hAnsi="Times New Roman" w:cs="Times New Roman"/>
          <w:smallCaps/>
          <w:sz w:val="24"/>
          <w:szCs w:val="24"/>
        </w:rPr>
        <w:t>Material</w:t>
      </w:r>
      <w:proofErr w:type="spellEnd"/>
      <w:r w:rsidRPr="00DF056F">
        <w:rPr>
          <w:rFonts w:ascii="Times New Roman" w:hAnsi="Times New Roman" w:cs="Times New Roman"/>
          <w:smallCaps/>
          <w:sz w:val="24"/>
          <w:szCs w:val="24"/>
        </w:rPr>
        <w:t xml:space="preserve"> and  </w:t>
      </w:r>
      <w:proofErr w:type="spellStart"/>
      <w:r w:rsidRPr="00DF056F">
        <w:rPr>
          <w:rFonts w:ascii="Times New Roman" w:hAnsi="Times New Roman" w:cs="Times New Roman"/>
          <w:smallCaps/>
          <w:sz w:val="24"/>
          <w:szCs w:val="24"/>
        </w:rPr>
        <w:t>methods</w:t>
      </w:r>
      <w:proofErr w:type="spellEnd"/>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sz w:val="24"/>
          <w:szCs w:val="24"/>
          <w:lang w:val="en-US"/>
        </w:rPr>
        <w:t xml:space="preserve">All listed tumor markers were determined by laboratory methods based on the principle of electrochemiluminescence. The anonymous material for the analysis was provided by a supplier of the external quality control in the form of sample pairs with an undisclosed concentration of the analyte. </w:t>
      </w:r>
    </w:p>
    <w:p w:rsidR="00DF056F" w:rsidRDefault="00DF056F" w:rsidP="00DF056F">
      <w:pPr>
        <w:spacing w:line="360" w:lineRule="auto"/>
        <w:rPr>
          <w:rFonts w:ascii="Times New Roman" w:hAnsi="Times New Roman" w:cs="Times New Roman"/>
          <w:sz w:val="24"/>
          <w:szCs w:val="24"/>
          <w:lang w:val="en-US"/>
        </w:rPr>
      </w:pPr>
      <w:r w:rsidRPr="00DF056F">
        <w:rPr>
          <w:rFonts w:ascii="Times New Roman" w:hAnsi="Times New Roman" w:cs="Times New Roman"/>
          <w:sz w:val="24"/>
          <w:szCs w:val="24"/>
          <w:lang w:val="en-US"/>
        </w:rPr>
        <w:t xml:space="preserve">After processing there were obtained concentrations of particular analytes and they were sent back to the supplier of external quality control for evaluation.  Acceptable outcomes were cut-off values which didn´t exceed 20% of the CV of the group, to which laboratory methodologically belonged. </w:t>
      </w:r>
    </w:p>
    <w:p w:rsidR="00C907DC" w:rsidRDefault="00C907DC" w:rsidP="00DF056F">
      <w:pPr>
        <w:spacing w:line="360" w:lineRule="auto"/>
        <w:rPr>
          <w:rFonts w:ascii="Times New Roman" w:hAnsi="Times New Roman" w:cs="Times New Roman"/>
          <w:smallCaps/>
          <w:sz w:val="24"/>
          <w:szCs w:val="24"/>
          <w:lang w:val="en-US"/>
        </w:rPr>
      </w:pPr>
      <w:r>
        <w:rPr>
          <w:rFonts w:ascii="Times New Roman" w:hAnsi="Times New Roman" w:cs="Times New Roman"/>
          <w:smallCaps/>
          <w:sz w:val="24"/>
          <w:szCs w:val="24"/>
          <w:lang w:val="en-US"/>
        </w:rPr>
        <w:t>Results</w:t>
      </w:r>
    </w:p>
    <w:p w:rsidR="00DF056F" w:rsidRPr="00DF056F" w:rsidRDefault="00DF056F" w:rsidP="00DF056F">
      <w:pPr>
        <w:spacing w:line="360" w:lineRule="auto"/>
        <w:rPr>
          <w:rFonts w:ascii="Times New Roman" w:hAnsi="Times New Roman" w:cs="Times New Roman"/>
          <w:sz w:val="24"/>
          <w:szCs w:val="24"/>
        </w:rPr>
      </w:pPr>
      <w:bookmarkStart w:id="0" w:name="_GoBack"/>
      <w:bookmarkEnd w:id="0"/>
      <w:r w:rsidRPr="00DF056F">
        <w:rPr>
          <w:rFonts w:ascii="Times New Roman" w:hAnsi="Times New Roman" w:cs="Times New Roman"/>
          <w:sz w:val="24"/>
          <w:szCs w:val="24"/>
          <w:lang w:val="en-US"/>
        </w:rPr>
        <w:t>Based on the results it can be concluded that in the tested period laboratory succeeded in all measured parameters, while the critical difference was not even once exceeded</w:t>
      </w:r>
      <w:r w:rsidRPr="00DF056F">
        <w:rPr>
          <w:rFonts w:ascii="Times New Roman" w:hAnsi="Times New Roman" w:cs="Times New Roman"/>
          <w:sz w:val="24"/>
          <w:szCs w:val="24"/>
        </w:rPr>
        <w:t xml:space="preserve"> (</w:t>
      </w:r>
      <w:proofErr w:type="spellStart"/>
      <w:r w:rsidRPr="00DF056F">
        <w:rPr>
          <w:rFonts w:ascii="Times New Roman" w:hAnsi="Times New Roman" w:cs="Times New Roman"/>
          <w:sz w:val="24"/>
          <w:szCs w:val="24"/>
        </w:rPr>
        <w:t>figures</w:t>
      </w:r>
      <w:proofErr w:type="spellEnd"/>
      <w:r w:rsidRPr="00DF056F">
        <w:rPr>
          <w:rFonts w:ascii="Times New Roman" w:hAnsi="Times New Roman" w:cs="Times New Roman"/>
          <w:sz w:val="24"/>
          <w:szCs w:val="24"/>
        </w:rPr>
        <w:t xml:space="preserve"> 1 - 7)</w:t>
      </w:r>
      <w:r w:rsidRPr="00DF056F">
        <w:rPr>
          <w:rFonts w:ascii="Times New Roman" w:hAnsi="Times New Roman" w:cs="Times New Roman"/>
          <w:sz w:val="24"/>
          <w:szCs w:val="24"/>
          <w:lang w:val="en-US"/>
        </w:rPr>
        <w:t xml:space="preserve">. </w:t>
      </w:r>
      <w:r w:rsidRPr="00DF056F">
        <w:rPr>
          <w:rFonts w:ascii="Times New Roman" w:hAnsi="Times New Roman" w:cs="Times New Roman"/>
          <w:sz w:val="24"/>
          <w:szCs w:val="24"/>
          <w:lang w:val="en-US"/>
        </w:rPr>
        <w:lastRenderedPageBreak/>
        <w:t xml:space="preserve">This is primarily about the robustness and reliability of the methodology and laboratory analyzers. It was therefore not necessary even once implemented corrective measures that would inevitably followed the findings of non-compliance. Despite these results, it should be noted, that laboratory diagnostics of tumor markers is time-continuous stream of samples, materials and information, during which there may be in non-compliance at any time. </w:t>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drawing>
          <wp:inline distT="0" distB="0" distL="0" distR="0" wp14:anchorId="24DCA55D" wp14:editId="3FC099BB">
            <wp:extent cx="5760720" cy="2095809"/>
            <wp:effectExtent l="0" t="0" r="11430" b="1905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drawing>
          <wp:inline distT="0" distB="0" distL="0" distR="0" wp14:anchorId="34444DA6" wp14:editId="3B639BEB">
            <wp:extent cx="5760720" cy="2182165"/>
            <wp:effectExtent l="0" t="0" r="11430" b="2794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drawing>
          <wp:inline distT="0" distB="0" distL="0" distR="0" wp14:anchorId="4239AE38" wp14:editId="39DD6B1E">
            <wp:extent cx="5760720" cy="2169916"/>
            <wp:effectExtent l="0" t="0" r="11430" b="20955"/>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F056F" w:rsidRDefault="00DF056F" w:rsidP="00DF056F">
      <w:pPr>
        <w:spacing w:line="360" w:lineRule="auto"/>
        <w:rPr>
          <w:rFonts w:ascii="Times New Roman" w:hAnsi="Times New Roman" w:cs="Times New Roman"/>
          <w:sz w:val="24"/>
          <w:szCs w:val="24"/>
        </w:rPr>
      </w:pP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lastRenderedPageBreak/>
        <w:drawing>
          <wp:inline distT="0" distB="0" distL="0" distR="0" wp14:anchorId="5375561C" wp14:editId="57754331">
            <wp:extent cx="5760720" cy="2265459"/>
            <wp:effectExtent l="0" t="0" r="11430" b="20955"/>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drawing>
          <wp:inline distT="0" distB="0" distL="0" distR="0" wp14:anchorId="668AD5F1" wp14:editId="773E76F5">
            <wp:extent cx="5760720" cy="2206051"/>
            <wp:effectExtent l="0" t="0" r="11430" b="2286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drawing>
          <wp:inline distT="0" distB="0" distL="0" distR="0" wp14:anchorId="146340B9" wp14:editId="3EB6C33D">
            <wp:extent cx="5760720" cy="2061512"/>
            <wp:effectExtent l="0" t="0" r="11430" b="1524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noProof/>
          <w:sz w:val="24"/>
          <w:szCs w:val="24"/>
        </w:rPr>
        <w:lastRenderedPageBreak/>
        <w:drawing>
          <wp:inline distT="0" distB="0" distL="0" distR="0" wp14:anchorId="37F914F7" wp14:editId="69A629E2">
            <wp:extent cx="5760720" cy="2382437"/>
            <wp:effectExtent l="0" t="0" r="11430" b="18415"/>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F056F" w:rsidRDefault="00DF056F" w:rsidP="00DF056F">
      <w:pPr>
        <w:spacing w:line="360" w:lineRule="auto"/>
        <w:rPr>
          <w:rFonts w:ascii="Times New Roman" w:hAnsi="Times New Roman" w:cs="Times New Roman"/>
          <w:sz w:val="24"/>
          <w:szCs w:val="24"/>
        </w:rPr>
      </w:pPr>
    </w:p>
    <w:p w:rsidR="00DF056F" w:rsidRPr="00DF056F" w:rsidRDefault="00DF056F" w:rsidP="00DF056F">
      <w:pPr>
        <w:spacing w:line="360" w:lineRule="auto"/>
        <w:rPr>
          <w:rFonts w:ascii="Times New Roman" w:hAnsi="Times New Roman" w:cs="Times New Roman"/>
          <w:b/>
          <w:smallCaps/>
          <w:sz w:val="24"/>
          <w:szCs w:val="24"/>
        </w:rPr>
      </w:pPr>
      <w:proofErr w:type="spellStart"/>
      <w:r w:rsidRPr="00DF056F">
        <w:rPr>
          <w:rFonts w:ascii="Times New Roman" w:hAnsi="Times New Roman" w:cs="Times New Roman"/>
          <w:b/>
          <w:smallCaps/>
          <w:sz w:val="24"/>
          <w:szCs w:val="24"/>
        </w:rPr>
        <w:t>Conclusion</w:t>
      </w:r>
      <w:proofErr w:type="spellEnd"/>
    </w:p>
    <w:p w:rsidR="00DF056F" w:rsidRDefault="00DF056F" w:rsidP="00DF056F">
      <w:pPr>
        <w:spacing w:line="360" w:lineRule="auto"/>
        <w:rPr>
          <w:rFonts w:ascii="Times New Roman" w:hAnsi="Times New Roman" w:cs="Times New Roman"/>
          <w:sz w:val="24"/>
          <w:szCs w:val="24"/>
          <w:lang w:val="en-US"/>
        </w:rPr>
      </w:pPr>
      <w:r w:rsidRPr="00DF056F">
        <w:rPr>
          <w:rFonts w:ascii="Times New Roman" w:hAnsi="Times New Roman" w:cs="Times New Roman"/>
          <w:sz w:val="24"/>
          <w:szCs w:val="24"/>
          <w:lang w:val="en-US"/>
        </w:rPr>
        <w:t>It is necessary to understand that the external quality control is continuous process of systematic activities directed to the improvement of laboratory work.</w:t>
      </w:r>
    </w:p>
    <w:p w:rsidR="00DF056F" w:rsidRDefault="00DF056F" w:rsidP="00DF056F">
      <w:pPr>
        <w:spacing w:line="360" w:lineRule="auto"/>
        <w:rPr>
          <w:rFonts w:ascii="Times New Roman" w:hAnsi="Times New Roman" w:cs="Times New Roman"/>
          <w:sz w:val="24"/>
          <w:szCs w:val="24"/>
          <w:lang w:val="en-US"/>
        </w:rPr>
      </w:pP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b/>
          <w:bCs/>
          <w:sz w:val="24"/>
          <w:szCs w:val="24"/>
          <w:lang w:val="en-US"/>
        </w:rPr>
        <w:t>Keywords</w:t>
      </w: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sz w:val="24"/>
          <w:szCs w:val="24"/>
          <w:lang w:val="en-US"/>
        </w:rPr>
        <w:t xml:space="preserve">Tumor markers. External quality control. Control samples.  </w:t>
      </w: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b/>
          <w:bCs/>
          <w:sz w:val="24"/>
          <w:szCs w:val="24"/>
          <w:lang w:val="en-US"/>
        </w:rPr>
        <w:t> </w:t>
      </w:r>
    </w:p>
    <w:p w:rsidR="00DF056F" w:rsidRPr="00DF056F" w:rsidRDefault="00DF056F" w:rsidP="00DF056F">
      <w:pPr>
        <w:spacing w:line="360" w:lineRule="auto"/>
        <w:rPr>
          <w:rFonts w:ascii="Times New Roman" w:hAnsi="Times New Roman" w:cs="Times New Roman"/>
          <w:sz w:val="24"/>
          <w:szCs w:val="24"/>
        </w:rPr>
      </w:pPr>
      <w:r w:rsidRPr="00DF056F">
        <w:rPr>
          <w:rFonts w:ascii="Times New Roman" w:hAnsi="Times New Roman" w:cs="Times New Roman"/>
          <w:b/>
          <w:bCs/>
          <w:sz w:val="24"/>
          <w:szCs w:val="24"/>
          <w:lang w:val="en-US"/>
        </w:rPr>
        <w:t>Acknowledgements</w:t>
      </w:r>
    </w:p>
    <w:p w:rsidR="00DF056F" w:rsidRDefault="00DF056F" w:rsidP="00DF056F">
      <w:pPr>
        <w:spacing w:line="360" w:lineRule="auto"/>
        <w:rPr>
          <w:rFonts w:ascii="Times New Roman" w:hAnsi="Times New Roman" w:cs="Times New Roman"/>
          <w:i/>
          <w:iCs/>
          <w:sz w:val="24"/>
          <w:szCs w:val="24"/>
          <w:lang w:val="en-US"/>
        </w:rPr>
      </w:pPr>
      <w:r w:rsidRPr="00DF056F">
        <w:rPr>
          <w:rFonts w:ascii="Times New Roman" w:hAnsi="Times New Roman" w:cs="Times New Roman"/>
          <w:i/>
          <w:iCs/>
          <w:sz w:val="24"/>
          <w:szCs w:val="24"/>
          <w:lang w:val="en-US"/>
        </w:rPr>
        <w:t xml:space="preserve">This  publication  was  created  in  the  frame  of  the  project  "Completion  of  the  technical infrastructure for the development of science and research at Alexander </w:t>
      </w:r>
      <w:proofErr w:type="spellStart"/>
      <w:r w:rsidRPr="00DF056F">
        <w:rPr>
          <w:rFonts w:ascii="Times New Roman" w:hAnsi="Times New Roman" w:cs="Times New Roman"/>
          <w:i/>
          <w:iCs/>
          <w:sz w:val="24"/>
          <w:szCs w:val="24"/>
          <w:lang w:val="en-US"/>
        </w:rPr>
        <w:t>Dubček</w:t>
      </w:r>
      <w:proofErr w:type="spellEnd"/>
      <w:r w:rsidRPr="00DF056F">
        <w:rPr>
          <w:rFonts w:ascii="Times New Roman" w:hAnsi="Times New Roman" w:cs="Times New Roman"/>
          <w:i/>
          <w:iCs/>
          <w:sz w:val="24"/>
          <w:szCs w:val="24"/>
          <w:lang w:val="en-US"/>
        </w:rPr>
        <w:t xml:space="preserve"> University of </w:t>
      </w:r>
      <w:proofErr w:type="spellStart"/>
      <w:r w:rsidRPr="00DF056F">
        <w:rPr>
          <w:rFonts w:ascii="Times New Roman" w:hAnsi="Times New Roman" w:cs="Times New Roman"/>
          <w:i/>
          <w:iCs/>
          <w:sz w:val="24"/>
          <w:szCs w:val="24"/>
          <w:lang w:val="en-US"/>
        </w:rPr>
        <w:t>Trenčín</w:t>
      </w:r>
      <w:proofErr w:type="spellEnd"/>
      <w:r w:rsidRPr="00DF056F">
        <w:rPr>
          <w:rFonts w:ascii="Times New Roman" w:hAnsi="Times New Roman" w:cs="Times New Roman"/>
          <w:i/>
          <w:iCs/>
          <w:sz w:val="24"/>
          <w:szCs w:val="24"/>
          <w:lang w:val="en-US"/>
        </w:rPr>
        <w:t xml:space="preserve">  through  Hyperbaric  Oxygen  Therapy",  ITMS  code  26210120019,  based  on  the Operational  </w:t>
      </w:r>
      <w:proofErr w:type="spellStart"/>
      <w:r w:rsidRPr="00DF056F">
        <w:rPr>
          <w:rFonts w:ascii="Times New Roman" w:hAnsi="Times New Roman" w:cs="Times New Roman"/>
          <w:i/>
          <w:iCs/>
          <w:sz w:val="24"/>
          <w:szCs w:val="24"/>
          <w:lang w:val="en-US"/>
        </w:rPr>
        <w:t>Programme</w:t>
      </w:r>
      <w:proofErr w:type="spellEnd"/>
      <w:r w:rsidRPr="00DF056F">
        <w:rPr>
          <w:rFonts w:ascii="Times New Roman" w:hAnsi="Times New Roman" w:cs="Times New Roman"/>
          <w:i/>
          <w:iCs/>
          <w:sz w:val="24"/>
          <w:szCs w:val="24"/>
          <w:lang w:val="en-US"/>
        </w:rPr>
        <w:t xml:space="preserve">  Research  and  Development  and funded  from  the  European  Social Fund.</w:t>
      </w:r>
    </w:p>
    <w:p w:rsidR="00DF056F" w:rsidRDefault="00DF056F" w:rsidP="00DF056F">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Contact:</w:t>
      </w:r>
    </w:p>
    <w:p w:rsidR="00DF056F" w:rsidRDefault="00DF056F" w:rsidP="00DF056F">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 xml:space="preserve">Jana </w:t>
      </w:r>
      <w:proofErr w:type="spellStart"/>
      <w:r>
        <w:rPr>
          <w:rFonts w:ascii="Times New Roman" w:hAnsi="Times New Roman" w:cs="Times New Roman"/>
          <w:iCs/>
          <w:sz w:val="24"/>
          <w:szCs w:val="24"/>
          <w:lang w:val="en-US"/>
        </w:rPr>
        <w:t>Slobodnikova</w:t>
      </w:r>
      <w:proofErr w:type="spellEnd"/>
      <w:r>
        <w:rPr>
          <w:rFonts w:ascii="Times New Roman" w:hAnsi="Times New Roman" w:cs="Times New Roman"/>
          <w:iCs/>
          <w:sz w:val="24"/>
          <w:szCs w:val="24"/>
          <w:lang w:val="en-US"/>
        </w:rPr>
        <w:t xml:space="preserve">,  MD,  </w:t>
      </w:r>
      <w:proofErr w:type="spellStart"/>
      <w:r>
        <w:rPr>
          <w:rFonts w:ascii="Times New Roman" w:hAnsi="Times New Roman" w:cs="Times New Roman"/>
          <w:iCs/>
          <w:sz w:val="24"/>
          <w:szCs w:val="24"/>
          <w:lang w:val="en-US"/>
        </w:rPr>
        <w:t>CSc</w:t>
      </w:r>
      <w:proofErr w:type="spellEnd"/>
      <w:r>
        <w:rPr>
          <w:rFonts w:ascii="Times New Roman" w:hAnsi="Times New Roman" w:cs="Times New Roman"/>
          <w:iCs/>
          <w:sz w:val="24"/>
          <w:szCs w:val="24"/>
          <w:lang w:val="en-US"/>
        </w:rPr>
        <w:t>., Assoc, Prof.</w:t>
      </w:r>
    </w:p>
    <w:p w:rsidR="00DF056F" w:rsidRDefault="00DF056F" w:rsidP="00DF056F">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Faculty of the He</w:t>
      </w:r>
      <w:r w:rsidR="005E71ED">
        <w:rPr>
          <w:rFonts w:ascii="Times New Roman" w:hAnsi="Times New Roman" w:cs="Times New Roman"/>
          <w:iCs/>
          <w:sz w:val="24"/>
          <w:szCs w:val="24"/>
          <w:lang w:val="en-US"/>
        </w:rPr>
        <w:t>althc</w:t>
      </w:r>
      <w:r>
        <w:rPr>
          <w:rFonts w:ascii="Times New Roman" w:hAnsi="Times New Roman" w:cs="Times New Roman"/>
          <w:iCs/>
          <w:sz w:val="24"/>
          <w:szCs w:val="24"/>
          <w:lang w:val="en-US"/>
        </w:rPr>
        <w:t>are</w:t>
      </w:r>
    </w:p>
    <w:p w:rsidR="00DF056F" w:rsidRDefault="00DF056F" w:rsidP="00DF056F">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t xml:space="preserve">Alexander Dubcek University of </w:t>
      </w:r>
      <w:proofErr w:type="spellStart"/>
      <w:r>
        <w:rPr>
          <w:rFonts w:ascii="Times New Roman" w:hAnsi="Times New Roman" w:cs="Times New Roman"/>
          <w:iCs/>
          <w:sz w:val="24"/>
          <w:szCs w:val="24"/>
          <w:lang w:val="en-US"/>
        </w:rPr>
        <w:t>Trencin</w:t>
      </w:r>
      <w:proofErr w:type="spellEnd"/>
      <w:r>
        <w:rPr>
          <w:rFonts w:ascii="Times New Roman" w:hAnsi="Times New Roman" w:cs="Times New Roman"/>
          <w:iCs/>
          <w:sz w:val="24"/>
          <w:szCs w:val="24"/>
          <w:lang w:val="en-US"/>
        </w:rPr>
        <w:t xml:space="preserve">,, </w:t>
      </w:r>
    </w:p>
    <w:p w:rsidR="00DF056F" w:rsidRDefault="00DF056F" w:rsidP="00DF056F">
      <w:pPr>
        <w:spacing w:line="240" w:lineRule="auto"/>
        <w:rPr>
          <w:rFonts w:ascii="Times New Roman" w:hAnsi="Times New Roman" w:cs="Times New Roman"/>
          <w:iCs/>
          <w:sz w:val="24"/>
          <w:szCs w:val="24"/>
          <w:lang w:val="en-US"/>
        </w:rPr>
      </w:pPr>
      <w:proofErr w:type="spellStart"/>
      <w:r>
        <w:rPr>
          <w:rFonts w:ascii="Times New Roman" w:hAnsi="Times New Roman" w:cs="Times New Roman"/>
          <w:iCs/>
          <w:sz w:val="24"/>
          <w:szCs w:val="24"/>
          <w:lang w:val="en-US"/>
        </w:rPr>
        <w:t>Studentska</w:t>
      </w:r>
      <w:proofErr w:type="spellEnd"/>
      <w:r>
        <w:rPr>
          <w:rFonts w:ascii="Times New Roman" w:hAnsi="Times New Roman" w:cs="Times New Roman"/>
          <w:iCs/>
          <w:sz w:val="24"/>
          <w:szCs w:val="24"/>
          <w:lang w:val="en-US"/>
        </w:rPr>
        <w:t xml:space="preserve"> 2</w:t>
      </w:r>
    </w:p>
    <w:p w:rsidR="00DF056F" w:rsidRDefault="00DF056F" w:rsidP="00DF056F">
      <w:pPr>
        <w:spacing w:line="240" w:lineRule="auto"/>
        <w:rPr>
          <w:rFonts w:ascii="Times New Roman" w:hAnsi="Times New Roman" w:cs="Times New Roman"/>
          <w:iCs/>
          <w:sz w:val="24"/>
          <w:szCs w:val="24"/>
          <w:lang w:val="en-US"/>
        </w:rPr>
      </w:pPr>
      <w:r>
        <w:rPr>
          <w:rFonts w:ascii="Times New Roman" w:hAnsi="Times New Roman" w:cs="Times New Roman"/>
          <w:iCs/>
          <w:sz w:val="24"/>
          <w:szCs w:val="24"/>
          <w:lang w:val="en-US"/>
        </w:rPr>
        <w:lastRenderedPageBreak/>
        <w:t xml:space="preserve"> 911 01 </w:t>
      </w:r>
      <w:proofErr w:type="spellStart"/>
      <w:r>
        <w:rPr>
          <w:rFonts w:ascii="Times New Roman" w:hAnsi="Times New Roman" w:cs="Times New Roman"/>
          <w:iCs/>
          <w:sz w:val="24"/>
          <w:szCs w:val="24"/>
          <w:lang w:val="en-US"/>
        </w:rPr>
        <w:t>Trencin</w:t>
      </w:r>
      <w:proofErr w:type="spellEnd"/>
      <w:r>
        <w:rPr>
          <w:rFonts w:ascii="Times New Roman" w:hAnsi="Times New Roman" w:cs="Times New Roman"/>
          <w:iCs/>
          <w:sz w:val="24"/>
          <w:szCs w:val="24"/>
          <w:lang w:val="en-US"/>
        </w:rPr>
        <w:t>.,</w:t>
      </w:r>
    </w:p>
    <w:p w:rsidR="00DF056F" w:rsidRPr="00DF056F" w:rsidRDefault="00DF056F" w:rsidP="00DF056F">
      <w:pPr>
        <w:spacing w:line="240" w:lineRule="auto"/>
        <w:rPr>
          <w:rFonts w:ascii="Times New Roman" w:hAnsi="Times New Roman" w:cs="Times New Roman"/>
          <w:sz w:val="24"/>
          <w:szCs w:val="24"/>
        </w:rPr>
      </w:pPr>
      <w:r>
        <w:rPr>
          <w:rFonts w:ascii="Times New Roman" w:hAnsi="Times New Roman" w:cs="Times New Roman"/>
          <w:iCs/>
          <w:sz w:val="24"/>
          <w:szCs w:val="24"/>
          <w:lang w:val="en-US"/>
        </w:rPr>
        <w:t xml:space="preserve"> Slovakia</w:t>
      </w:r>
    </w:p>
    <w:p w:rsidR="00DF056F" w:rsidRPr="00DF056F" w:rsidRDefault="00C907DC" w:rsidP="00DF056F">
      <w:pPr>
        <w:spacing w:line="360" w:lineRule="auto"/>
        <w:rPr>
          <w:rFonts w:ascii="Times New Roman" w:hAnsi="Times New Roman" w:cs="Times New Roman"/>
          <w:sz w:val="24"/>
          <w:szCs w:val="24"/>
        </w:rPr>
      </w:pPr>
      <w:hyperlink r:id="rId11" w:history="1">
        <w:r w:rsidR="005E71ED" w:rsidRPr="003D5A74">
          <w:rPr>
            <w:rStyle w:val="Hypertextovprepojenie"/>
          </w:rPr>
          <w:t>vladimir.melus@tnuni.sk</w:t>
        </w:r>
      </w:hyperlink>
      <w:r w:rsidR="005E71ED">
        <w:t xml:space="preserve">, </w:t>
      </w:r>
      <w:hyperlink r:id="rId12" w:history="1">
        <w:r w:rsidR="005E71ED">
          <w:rPr>
            <w:rStyle w:val="Hypertextovprepojenie"/>
            <w:rFonts w:ascii="Times New Roman" w:hAnsi="Times New Roman" w:cs="Times New Roman"/>
            <w:sz w:val="24"/>
            <w:szCs w:val="24"/>
          </w:rPr>
          <w:t>j</w:t>
        </w:r>
        <w:r w:rsidR="00DF056F" w:rsidRPr="009C494E">
          <w:rPr>
            <w:rStyle w:val="Hypertextovprepojenie"/>
            <w:rFonts w:ascii="Times New Roman" w:hAnsi="Times New Roman" w:cs="Times New Roman"/>
            <w:sz w:val="24"/>
            <w:szCs w:val="24"/>
          </w:rPr>
          <w:t>ana.slobodnikova@tnuni.sk</w:t>
        </w:r>
      </w:hyperlink>
      <w:r w:rsidR="00DF056F">
        <w:rPr>
          <w:rFonts w:ascii="Times New Roman" w:hAnsi="Times New Roman" w:cs="Times New Roman"/>
          <w:sz w:val="24"/>
          <w:szCs w:val="24"/>
        </w:rPr>
        <w:t xml:space="preserve"> , </w:t>
      </w:r>
      <w:r w:rsidR="001C7FC6">
        <w:rPr>
          <w:rFonts w:ascii="Times New Roman" w:hAnsi="Times New Roman" w:cs="Times New Roman"/>
          <w:sz w:val="24"/>
          <w:szCs w:val="24"/>
        </w:rPr>
        <w:t xml:space="preserve"> </w:t>
      </w:r>
      <w:r w:rsidR="00DF056F">
        <w:rPr>
          <w:rFonts w:ascii="Times New Roman" w:hAnsi="Times New Roman" w:cs="Times New Roman"/>
          <w:sz w:val="24"/>
          <w:szCs w:val="24"/>
        </w:rPr>
        <w:t>00421/917 313313</w:t>
      </w:r>
      <w:r w:rsidR="001C7FC6">
        <w:rPr>
          <w:rFonts w:ascii="Times New Roman" w:hAnsi="Times New Roman" w:cs="Times New Roman"/>
          <w:sz w:val="24"/>
          <w:szCs w:val="24"/>
        </w:rPr>
        <w:t>, 00421/327400611</w:t>
      </w:r>
    </w:p>
    <w:p w:rsidR="00DF056F" w:rsidRPr="00DF056F" w:rsidRDefault="00DF056F" w:rsidP="00DF056F">
      <w:pPr>
        <w:spacing w:line="360" w:lineRule="auto"/>
        <w:rPr>
          <w:rFonts w:ascii="Times New Roman" w:hAnsi="Times New Roman" w:cs="Times New Roman"/>
          <w:sz w:val="24"/>
          <w:szCs w:val="24"/>
        </w:rPr>
      </w:pPr>
    </w:p>
    <w:sectPr w:rsidR="00DF056F" w:rsidRPr="00DF05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7C4"/>
    <w:rsid w:val="001C7FC6"/>
    <w:rsid w:val="003A254C"/>
    <w:rsid w:val="005E71ED"/>
    <w:rsid w:val="00C907DC"/>
    <w:rsid w:val="00DF056F"/>
    <w:rsid w:val="00F027C4"/>
    <w:rsid w:val="00FE24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F001"/>
  <w15:docId w15:val="{E8B1BEE9-6AF9-4644-BEAD-8D94DE4B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DF056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F056F"/>
    <w:rPr>
      <w:rFonts w:ascii="Tahoma" w:hAnsi="Tahoma" w:cs="Tahoma"/>
      <w:sz w:val="16"/>
      <w:szCs w:val="16"/>
    </w:rPr>
  </w:style>
  <w:style w:type="character" w:styleId="Hypertextovprepojenie">
    <w:name w:val="Hyperlink"/>
    <w:basedOn w:val="Predvolenpsmoodseku"/>
    <w:uiPriority w:val="99"/>
    <w:unhideWhenUsed/>
    <w:rsid w:val="00DF056F"/>
    <w:rPr>
      <w:color w:val="0000FF" w:themeColor="hyperlink"/>
      <w:u w:val="single"/>
    </w:rPr>
  </w:style>
  <w:style w:type="character" w:styleId="Nevyrieenzmienka">
    <w:name w:val="Unresolved Mention"/>
    <w:basedOn w:val="Predvolenpsmoodseku"/>
    <w:uiPriority w:val="99"/>
    <w:semiHidden/>
    <w:unhideWhenUsed/>
    <w:rsid w:val="005E7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728403">
      <w:bodyDiv w:val="1"/>
      <w:marLeft w:val="0"/>
      <w:marRight w:val="0"/>
      <w:marTop w:val="0"/>
      <w:marBottom w:val="0"/>
      <w:divBdr>
        <w:top w:val="none" w:sz="0" w:space="0" w:color="auto"/>
        <w:left w:val="none" w:sz="0" w:space="0" w:color="auto"/>
        <w:bottom w:val="none" w:sz="0" w:space="0" w:color="auto"/>
        <w:right w:val="none" w:sz="0" w:space="0" w:color="auto"/>
      </w:divBdr>
    </w:div>
    <w:div w:id="328799377">
      <w:bodyDiv w:val="1"/>
      <w:marLeft w:val="0"/>
      <w:marRight w:val="0"/>
      <w:marTop w:val="0"/>
      <w:marBottom w:val="0"/>
      <w:divBdr>
        <w:top w:val="none" w:sz="0" w:space="0" w:color="auto"/>
        <w:left w:val="none" w:sz="0" w:space="0" w:color="auto"/>
        <w:bottom w:val="none" w:sz="0" w:space="0" w:color="auto"/>
        <w:right w:val="none" w:sz="0" w:space="0" w:color="auto"/>
      </w:divBdr>
    </w:div>
    <w:div w:id="356396952">
      <w:bodyDiv w:val="1"/>
      <w:marLeft w:val="0"/>
      <w:marRight w:val="0"/>
      <w:marTop w:val="0"/>
      <w:marBottom w:val="0"/>
      <w:divBdr>
        <w:top w:val="none" w:sz="0" w:space="0" w:color="auto"/>
        <w:left w:val="none" w:sz="0" w:space="0" w:color="auto"/>
        <w:bottom w:val="none" w:sz="0" w:space="0" w:color="auto"/>
        <w:right w:val="none" w:sz="0" w:space="0" w:color="auto"/>
      </w:divBdr>
    </w:div>
    <w:div w:id="478959200">
      <w:bodyDiv w:val="1"/>
      <w:marLeft w:val="0"/>
      <w:marRight w:val="0"/>
      <w:marTop w:val="0"/>
      <w:marBottom w:val="0"/>
      <w:divBdr>
        <w:top w:val="none" w:sz="0" w:space="0" w:color="auto"/>
        <w:left w:val="none" w:sz="0" w:space="0" w:color="auto"/>
        <w:bottom w:val="none" w:sz="0" w:space="0" w:color="auto"/>
        <w:right w:val="none" w:sz="0" w:space="0" w:color="auto"/>
      </w:divBdr>
    </w:div>
    <w:div w:id="689918263">
      <w:bodyDiv w:val="1"/>
      <w:marLeft w:val="0"/>
      <w:marRight w:val="0"/>
      <w:marTop w:val="0"/>
      <w:marBottom w:val="0"/>
      <w:divBdr>
        <w:top w:val="none" w:sz="0" w:space="0" w:color="auto"/>
        <w:left w:val="none" w:sz="0" w:space="0" w:color="auto"/>
        <w:bottom w:val="none" w:sz="0" w:space="0" w:color="auto"/>
        <w:right w:val="none" w:sz="0" w:space="0" w:color="auto"/>
      </w:divBdr>
    </w:div>
    <w:div w:id="1651009691">
      <w:bodyDiv w:val="1"/>
      <w:marLeft w:val="0"/>
      <w:marRight w:val="0"/>
      <w:marTop w:val="0"/>
      <w:marBottom w:val="0"/>
      <w:divBdr>
        <w:top w:val="none" w:sz="0" w:space="0" w:color="auto"/>
        <w:left w:val="none" w:sz="0" w:space="0" w:color="auto"/>
        <w:bottom w:val="none" w:sz="0" w:space="0" w:color="auto"/>
        <w:right w:val="none" w:sz="0" w:space="0" w:color="auto"/>
      </w:divBdr>
    </w:div>
    <w:div w:id="206949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4.xml"/><Relationship Id="rId12" Type="http://schemas.openxmlformats.org/officeDocument/2006/relationships/hyperlink" Target="mailto:Jana.slobodnikova@tnuni.s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hyperlink" Target="mailto:vladimir.melus@tnuni.sk" TargetMode="External"/><Relationship Id="rId5" Type="http://schemas.openxmlformats.org/officeDocument/2006/relationships/chart" Target="charts/chart2.xml"/><Relationship Id="rId10" Type="http://schemas.openxmlformats.org/officeDocument/2006/relationships/chart" Target="charts/chart7.xml"/><Relationship Id="rId4" Type="http://schemas.openxmlformats.org/officeDocument/2006/relationships/chart" Target="charts/chart1.xml"/><Relationship Id="rId9" Type="http://schemas.openxmlformats.org/officeDocument/2006/relationships/chart" Target="charts/chart6.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1   </a:t>
            </a:r>
            <a:r>
              <a:rPr lang="sk-SK" dirty="0"/>
              <a:t>Ca125</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Hárok1!$A$2:$A$10</c:f>
              <c:numCache>
                <c:formatCode>General</c:formatCode>
                <c:ptCount val="9"/>
                <c:pt idx="0">
                  <c:v>3.4</c:v>
                </c:pt>
                <c:pt idx="1">
                  <c:v>-1.4</c:v>
                </c:pt>
                <c:pt idx="2">
                  <c:v>6.5</c:v>
                </c:pt>
                <c:pt idx="3">
                  <c:v>-2.2000000000000002</c:v>
                </c:pt>
                <c:pt idx="4">
                  <c:v>-4.0999999999999996</c:v>
                </c:pt>
                <c:pt idx="5">
                  <c:v>1</c:v>
                </c:pt>
                <c:pt idx="6">
                  <c:v>6.1</c:v>
                </c:pt>
                <c:pt idx="7">
                  <c:v>7.9</c:v>
                </c:pt>
                <c:pt idx="8">
                  <c:v>2.5</c:v>
                </c:pt>
              </c:numCache>
            </c:numRef>
          </c:xVal>
          <c:yVal>
            <c:numRef>
              <c:f>Hárok1!$B$2:$B$10</c:f>
              <c:numCache>
                <c:formatCode>General</c:formatCode>
                <c:ptCount val="9"/>
                <c:pt idx="0">
                  <c:v>4.8</c:v>
                </c:pt>
                <c:pt idx="1">
                  <c:v>0.60000000000000031</c:v>
                </c:pt>
                <c:pt idx="2">
                  <c:v>5.7</c:v>
                </c:pt>
                <c:pt idx="3">
                  <c:v>-2</c:v>
                </c:pt>
                <c:pt idx="4">
                  <c:v>-3</c:v>
                </c:pt>
                <c:pt idx="5">
                  <c:v>0.9</c:v>
                </c:pt>
                <c:pt idx="6">
                  <c:v>9.3000000000000007</c:v>
                </c:pt>
                <c:pt idx="7">
                  <c:v>8.1</c:v>
                </c:pt>
                <c:pt idx="8">
                  <c:v>4.5</c:v>
                </c:pt>
              </c:numCache>
            </c:numRef>
          </c:yVal>
          <c:smooth val="0"/>
          <c:extLst>
            <c:ext xmlns:c16="http://schemas.microsoft.com/office/drawing/2014/chart" uri="{C3380CC4-5D6E-409C-BE32-E72D297353CC}">
              <c16:uniqueId val="{00000000-20F2-4C78-AA29-DFE3BA75536E}"/>
            </c:ext>
          </c:extLst>
        </c:ser>
        <c:dLbls>
          <c:showLegendKey val="0"/>
          <c:showVal val="0"/>
          <c:showCatName val="0"/>
          <c:showSerName val="0"/>
          <c:showPercent val="0"/>
          <c:showBubbleSize val="0"/>
        </c:dLbls>
        <c:axId val="133639168"/>
        <c:axId val="135414912"/>
      </c:scatterChart>
      <c:valAx>
        <c:axId val="1336391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 </a:t>
                </a:r>
                <a:r>
                  <a:rPr lang="sk-SK" dirty="0" err="1"/>
                  <a:t>second</a:t>
                </a:r>
                <a:r>
                  <a:rPr lang="sk-SK" dirty="0"/>
                  <a:t> </a:t>
                </a:r>
                <a:r>
                  <a:rPr lang="sk-SK" dirty="0" err="1"/>
                  <a:t>sample</a:t>
                </a:r>
                <a:r>
                  <a:rPr lang="sk-SK" baseline="0" dirty="0"/>
                  <a:t> </a:t>
                </a:r>
                <a:endParaRPr lang="sk-SK" dirty="0"/>
              </a:p>
            </c:rich>
          </c:tx>
          <c:layout>
            <c:manualLayout>
              <c:xMode val="edge"/>
              <c:yMode val="edge"/>
              <c:x val="0.42072907553222538"/>
              <c:y val="0.91188476440444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414912"/>
        <c:crosses val="autoZero"/>
        <c:crossBetween val="midCat"/>
      </c:valAx>
      <c:valAx>
        <c:axId val="135414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1.6203703703703703E-2"/>
              <c:y val="0.3526884139482567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36391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2   </a:t>
            </a:r>
            <a:r>
              <a:rPr lang="sk-SK" dirty="0"/>
              <a:t>Ca199</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Hárok1!$A$2:$A$11</c:f>
              <c:numCache>
                <c:formatCode>General</c:formatCode>
                <c:ptCount val="10"/>
                <c:pt idx="0">
                  <c:v>-3.8</c:v>
                </c:pt>
                <c:pt idx="1">
                  <c:v>-10.7</c:v>
                </c:pt>
                <c:pt idx="2">
                  <c:v>12.1</c:v>
                </c:pt>
                <c:pt idx="3">
                  <c:v>-8.1</c:v>
                </c:pt>
                <c:pt idx="4">
                  <c:v>-4.9000000000000004</c:v>
                </c:pt>
                <c:pt idx="5">
                  <c:v>-1.7</c:v>
                </c:pt>
                <c:pt idx="6">
                  <c:v>-7.2</c:v>
                </c:pt>
                <c:pt idx="7">
                  <c:v>-5.8</c:v>
                </c:pt>
                <c:pt idx="8">
                  <c:v>-12.9</c:v>
                </c:pt>
                <c:pt idx="9">
                  <c:v>2</c:v>
                </c:pt>
              </c:numCache>
            </c:numRef>
          </c:xVal>
          <c:yVal>
            <c:numRef>
              <c:f>Hárok1!$B$2:$B$11</c:f>
              <c:numCache>
                <c:formatCode>General</c:formatCode>
                <c:ptCount val="10"/>
                <c:pt idx="0">
                  <c:v>-0.2</c:v>
                </c:pt>
                <c:pt idx="1">
                  <c:v>-2.5</c:v>
                </c:pt>
                <c:pt idx="2">
                  <c:v>11.5</c:v>
                </c:pt>
                <c:pt idx="3">
                  <c:v>-7.7</c:v>
                </c:pt>
                <c:pt idx="4">
                  <c:v>-3.7</c:v>
                </c:pt>
                <c:pt idx="5">
                  <c:v>-1.4</c:v>
                </c:pt>
                <c:pt idx="6">
                  <c:v>-5.0999999999999996</c:v>
                </c:pt>
                <c:pt idx="7">
                  <c:v>-5.5</c:v>
                </c:pt>
                <c:pt idx="8">
                  <c:v>-3.5</c:v>
                </c:pt>
                <c:pt idx="9">
                  <c:v>1.1000000000000001</c:v>
                </c:pt>
              </c:numCache>
            </c:numRef>
          </c:yVal>
          <c:smooth val="0"/>
          <c:extLst>
            <c:ext xmlns:c16="http://schemas.microsoft.com/office/drawing/2014/chart" uri="{C3380CC4-5D6E-409C-BE32-E72D297353CC}">
              <c16:uniqueId val="{00000000-855B-4A28-9156-359ACD30BF96}"/>
            </c:ext>
          </c:extLst>
        </c:ser>
        <c:dLbls>
          <c:showLegendKey val="0"/>
          <c:showVal val="0"/>
          <c:showCatName val="0"/>
          <c:showSerName val="0"/>
          <c:showPercent val="0"/>
          <c:showBubbleSize val="0"/>
        </c:dLbls>
        <c:axId val="135737344"/>
        <c:axId val="135739648"/>
      </c:scatterChart>
      <c:valAx>
        <c:axId val="1357373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1860962566844945"/>
              <c:y val="0.9071889681501411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739648"/>
        <c:crosses val="autoZero"/>
        <c:crossBetween val="midCat"/>
      </c:valAx>
      <c:valAx>
        <c:axId val="135739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6636957813428402E-2"/>
              <c:y val="0.3448377886933413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7373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3</a:t>
            </a:r>
            <a:r>
              <a:rPr lang="sk-SK" i="1" baseline="0" dirty="0"/>
              <a:t>  </a:t>
            </a:r>
            <a:r>
              <a:rPr lang="sk-SK" dirty="0"/>
              <a:t>CEA</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Hárok1!$A$2:$A$11</c:f>
              <c:numCache>
                <c:formatCode>General</c:formatCode>
                <c:ptCount val="10"/>
                <c:pt idx="0">
                  <c:v>1.3</c:v>
                </c:pt>
                <c:pt idx="1">
                  <c:v>-8.1</c:v>
                </c:pt>
                <c:pt idx="2">
                  <c:v>6.6</c:v>
                </c:pt>
                <c:pt idx="3">
                  <c:v>-8.7000000000000011</c:v>
                </c:pt>
                <c:pt idx="4">
                  <c:v>-3.4</c:v>
                </c:pt>
                <c:pt idx="5">
                  <c:v>8.4</c:v>
                </c:pt>
                <c:pt idx="6">
                  <c:v>2.6</c:v>
                </c:pt>
                <c:pt idx="7">
                  <c:v>-3.1</c:v>
                </c:pt>
                <c:pt idx="8">
                  <c:v>4.9000000000000004</c:v>
                </c:pt>
                <c:pt idx="9">
                  <c:v>1.4</c:v>
                </c:pt>
              </c:numCache>
            </c:numRef>
          </c:xVal>
          <c:yVal>
            <c:numRef>
              <c:f>Hárok1!$B$2:$B$11</c:f>
              <c:numCache>
                <c:formatCode>General</c:formatCode>
                <c:ptCount val="10"/>
                <c:pt idx="0">
                  <c:v>2.5</c:v>
                </c:pt>
                <c:pt idx="1">
                  <c:v>-8.1</c:v>
                </c:pt>
                <c:pt idx="2">
                  <c:v>8.7000000000000011</c:v>
                </c:pt>
                <c:pt idx="3">
                  <c:v>-6.4</c:v>
                </c:pt>
                <c:pt idx="4">
                  <c:v>-1</c:v>
                </c:pt>
                <c:pt idx="5">
                  <c:v>4.4000000000000004</c:v>
                </c:pt>
                <c:pt idx="6">
                  <c:v>3.7</c:v>
                </c:pt>
                <c:pt idx="7">
                  <c:v>0.8</c:v>
                </c:pt>
                <c:pt idx="8">
                  <c:v>5.3</c:v>
                </c:pt>
                <c:pt idx="9">
                  <c:v>4.0999999999999996</c:v>
                </c:pt>
              </c:numCache>
            </c:numRef>
          </c:yVal>
          <c:smooth val="0"/>
          <c:extLst>
            <c:ext xmlns:c16="http://schemas.microsoft.com/office/drawing/2014/chart" uri="{C3380CC4-5D6E-409C-BE32-E72D297353CC}">
              <c16:uniqueId val="{00000000-69A1-4F32-A207-4ED8B843DD6D}"/>
            </c:ext>
          </c:extLst>
        </c:ser>
        <c:dLbls>
          <c:showLegendKey val="0"/>
          <c:showVal val="0"/>
          <c:showCatName val="0"/>
          <c:showSerName val="0"/>
          <c:showPercent val="0"/>
          <c:showBubbleSize val="0"/>
        </c:dLbls>
        <c:axId val="287348608"/>
        <c:axId val="287351168"/>
      </c:scatterChart>
      <c:valAx>
        <c:axId val="287348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1713248638838485"/>
              <c:y val="0.915853018372703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87351168"/>
        <c:crosses val="autoZero"/>
        <c:crossBetween val="midCat"/>
      </c:valAx>
      <c:valAx>
        <c:axId val="287351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4519056261343012E-2"/>
              <c:y val="0.3526884139482567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873486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4  </a:t>
            </a:r>
            <a:r>
              <a:rPr lang="sk-SK" dirty="0"/>
              <a:t>PSA</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Hárok1!$A$2:$A$11</c:f>
              <c:numCache>
                <c:formatCode>General</c:formatCode>
                <c:ptCount val="10"/>
                <c:pt idx="0">
                  <c:v>-4.9000000000000004</c:v>
                </c:pt>
                <c:pt idx="1">
                  <c:v>0.60000000000000031</c:v>
                </c:pt>
                <c:pt idx="2">
                  <c:v>5.5</c:v>
                </c:pt>
                <c:pt idx="3">
                  <c:v>3.4</c:v>
                </c:pt>
                <c:pt idx="4">
                  <c:v>-2.4</c:v>
                </c:pt>
                <c:pt idx="5">
                  <c:v>-1.9000000000000001</c:v>
                </c:pt>
                <c:pt idx="6">
                  <c:v>3.8</c:v>
                </c:pt>
                <c:pt idx="7">
                  <c:v>1.7</c:v>
                </c:pt>
                <c:pt idx="8">
                  <c:v>-4.5999999999999996</c:v>
                </c:pt>
                <c:pt idx="9">
                  <c:v>9.4</c:v>
                </c:pt>
              </c:numCache>
            </c:numRef>
          </c:xVal>
          <c:yVal>
            <c:numRef>
              <c:f>Hárok1!$B$2:$B$11</c:f>
              <c:numCache>
                <c:formatCode>General</c:formatCode>
                <c:ptCount val="10"/>
                <c:pt idx="0">
                  <c:v>-3.4</c:v>
                </c:pt>
                <c:pt idx="1">
                  <c:v>2</c:v>
                </c:pt>
                <c:pt idx="2">
                  <c:v>8.6</c:v>
                </c:pt>
                <c:pt idx="3">
                  <c:v>8</c:v>
                </c:pt>
                <c:pt idx="4">
                  <c:v>-7.5</c:v>
                </c:pt>
                <c:pt idx="5">
                  <c:v>-1.3</c:v>
                </c:pt>
                <c:pt idx="6">
                  <c:v>2.8</c:v>
                </c:pt>
                <c:pt idx="7">
                  <c:v>-0.9</c:v>
                </c:pt>
                <c:pt idx="8">
                  <c:v>-3.9</c:v>
                </c:pt>
                <c:pt idx="9">
                  <c:v>0.1</c:v>
                </c:pt>
              </c:numCache>
            </c:numRef>
          </c:yVal>
          <c:smooth val="0"/>
          <c:extLst>
            <c:ext xmlns:c16="http://schemas.microsoft.com/office/drawing/2014/chart" uri="{C3380CC4-5D6E-409C-BE32-E72D297353CC}">
              <c16:uniqueId val="{00000000-A50C-4976-A812-CA909F61B34C}"/>
            </c:ext>
          </c:extLst>
        </c:ser>
        <c:dLbls>
          <c:showLegendKey val="0"/>
          <c:showVal val="0"/>
          <c:showCatName val="0"/>
          <c:showSerName val="0"/>
          <c:showPercent val="0"/>
          <c:showBubbleSize val="0"/>
        </c:dLbls>
        <c:axId val="135778304"/>
        <c:axId val="135780608"/>
      </c:scatterChart>
      <c:valAx>
        <c:axId val="1357783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0505618292375395"/>
              <c:y val="0.9193411601992866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780608"/>
        <c:crosses val="autoZero"/>
        <c:crossBetween val="midCat"/>
      </c:valAx>
      <c:valAx>
        <c:axId val="135780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1862396204033225E-2"/>
              <c:y val="0.3518063086425575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7783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5  </a:t>
            </a:r>
            <a:r>
              <a:rPr lang="sk-SK" dirty="0"/>
              <a:t>AFP</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Hárok1!$A$2:$A$6</c:f>
              <c:numCache>
                <c:formatCode>General</c:formatCode>
                <c:ptCount val="5"/>
                <c:pt idx="0">
                  <c:v>9.8000000000000007</c:v>
                </c:pt>
                <c:pt idx="1">
                  <c:v>-7.5</c:v>
                </c:pt>
                <c:pt idx="2">
                  <c:v>-8.8000000000000007</c:v>
                </c:pt>
                <c:pt idx="3">
                  <c:v>-1.8</c:v>
                </c:pt>
                <c:pt idx="4">
                  <c:v>0</c:v>
                </c:pt>
              </c:numCache>
            </c:numRef>
          </c:xVal>
          <c:yVal>
            <c:numRef>
              <c:f>Hárok1!$B$2:$B$6</c:f>
              <c:numCache>
                <c:formatCode>General</c:formatCode>
                <c:ptCount val="5"/>
                <c:pt idx="0">
                  <c:v>13.6</c:v>
                </c:pt>
                <c:pt idx="1">
                  <c:v>-10.3</c:v>
                </c:pt>
                <c:pt idx="2">
                  <c:v>-9.4</c:v>
                </c:pt>
                <c:pt idx="3">
                  <c:v>-5.4</c:v>
                </c:pt>
                <c:pt idx="4">
                  <c:v>-2.9</c:v>
                </c:pt>
              </c:numCache>
            </c:numRef>
          </c:yVal>
          <c:smooth val="0"/>
          <c:extLst>
            <c:ext xmlns:c16="http://schemas.microsoft.com/office/drawing/2014/chart" uri="{C3380CC4-5D6E-409C-BE32-E72D297353CC}">
              <c16:uniqueId val="{00000000-9AF3-4445-8467-7934BA129C93}"/>
            </c:ext>
          </c:extLst>
        </c:ser>
        <c:dLbls>
          <c:showLegendKey val="0"/>
          <c:showVal val="0"/>
          <c:showCatName val="0"/>
          <c:showSerName val="0"/>
          <c:showPercent val="0"/>
          <c:showBubbleSize val="0"/>
        </c:dLbls>
        <c:axId val="214554496"/>
        <c:axId val="287424896"/>
      </c:scatterChart>
      <c:valAx>
        <c:axId val="214554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0709959642141491"/>
              <c:y val="0.915853018372703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87424896"/>
        <c:crosses val="autoZero"/>
        <c:crossBetween val="midCat"/>
      </c:valAx>
      <c:valAx>
        <c:axId val="287424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1947431302270023E-2"/>
              <c:y val="0.3526884139482567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145544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6  </a:t>
            </a:r>
            <a:r>
              <a:rPr lang="sk-SK" dirty="0"/>
              <a:t>Ca153</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Hárok1!$A$2:$A$7</c:f>
              <c:numCache>
                <c:formatCode>General</c:formatCode>
                <c:ptCount val="6"/>
                <c:pt idx="0">
                  <c:v>3.2</c:v>
                </c:pt>
                <c:pt idx="1">
                  <c:v>-11.2</c:v>
                </c:pt>
                <c:pt idx="2">
                  <c:v>5.8</c:v>
                </c:pt>
                <c:pt idx="3">
                  <c:v>-4.4000000000000004</c:v>
                </c:pt>
                <c:pt idx="4">
                  <c:v>3.2</c:v>
                </c:pt>
                <c:pt idx="5">
                  <c:v>-5.9</c:v>
                </c:pt>
              </c:numCache>
            </c:numRef>
          </c:xVal>
          <c:yVal>
            <c:numRef>
              <c:f>Hárok1!$B$2:$B$7</c:f>
              <c:numCache>
                <c:formatCode>General</c:formatCode>
                <c:ptCount val="6"/>
                <c:pt idx="0">
                  <c:v>-2.1</c:v>
                </c:pt>
                <c:pt idx="1">
                  <c:v>-13.2</c:v>
                </c:pt>
                <c:pt idx="2">
                  <c:v>5.5</c:v>
                </c:pt>
                <c:pt idx="3">
                  <c:v>-6.5</c:v>
                </c:pt>
                <c:pt idx="4">
                  <c:v>2.2000000000000002</c:v>
                </c:pt>
                <c:pt idx="5">
                  <c:v>6.7</c:v>
                </c:pt>
              </c:numCache>
            </c:numRef>
          </c:yVal>
          <c:smooth val="0"/>
          <c:extLst>
            <c:ext xmlns:c16="http://schemas.microsoft.com/office/drawing/2014/chart" uri="{C3380CC4-5D6E-409C-BE32-E72D297353CC}">
              <c16:uniqueId val="{00000000-A05A-4F65-B0BB-C3DAEA3D5F67}"/>
            </c:ext>
          </c:extLst>
        </c:ser>
        <c:dLbls>
          <c:showLegendKey val="0"/>
          <c:showVal val="0"/>
          <c:showCatName val="0"/>
          <c:showSerName val="0"/>
          <c:showPercent val="0"/>
          <c:showBubbleSize val="0"/>
        </c:dLbls>
        <c:axId val="225693696"/>
        <c:axId val="225696000"/>
      </c:scatterChart>
      <c:valAx>
        <c:axId val="225693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0949923525746351"/>
              <c:y val="0.915853018372703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25696000"/>
        <c:crosses val="autoZero"/>
        <c:crossBetween val="midCat"/>
      </c:valAx>
      <c:valAx>
        <c:axId val="225696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4388489208633106E-2"/>
              <c:y val="0.3526884139482567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256936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i="1" dirty="0" err="1"/>
              <a:t>Figure</a:t>
            </a:r>
            <a:r>
              <a:rPr lang="sk-SK" i="1" dirty="0"/>
              <a:t> 7  </a:t>
            </a:r>
            <a:r>
              <a:rPr lang="sk-SK" dirty="0"/>
              <a:t>HCG</a:t>
            </a:r>
            <a:r>
              <a:rPr lang="sk-SK" baseline="0" dirty="0"/>
              <a:t> </a:t>
            </a:r>
            <a:endParaRPr lang="en-US" dirty="0"/>
          </a:p>
        </c:rich>
      </c:tx>
      <c:overlay val="0"/>
      <c:spPr>
        <a:noFill/>
        <a:ln>
          <a:noFill/>
        </a:ln>
        <a:effectLst/>
      </c:spPr>
    </c:title>
    <c:autoTitleDeleted val="0"/>
    <c:plotArea>
      <c:layout/>
      <c:scatterChart>
        <c:scatterStyle val="lineMarker"/>
        <c:varyColors val="0"/>
        <c:ser>
          <c:idx val="0"/>
          <c:order val="0"/>
          <c:tx>
            <c:strRef>
              <c:f>Hárok1!$B$1</c:f>
              <c:strCache>
                <c:ptCount val="1"/>
                <c:pt idx="0">
                  <c:v>Hodnoty Y</c:v>
                </c:pt>
              </c:strCache>
            </c:strRef>
          </c:tx>
          <c:spPr>
            <a:ln w="19050" cap="rnd">
              <a:noFill/>
              <a:round/>
            </a:ln>
            <a:effectLst/>
          </c:spPr>
          <c:marker>
            <c:symbol val="circle"/>
            <c:size val="5"/>
            <c:spPr>
              <a:solidFill>
                <a:schemeClr val="accent1"/>
              </a:solidFill>
              <a:ln w="9525">
                <a:solidFill>
                  <a:schemeClr val="accent1"/>
                </a:solidFill>
              </a:ln>
              <a:effectLst/>
            </c:spPr>
          </c:marker>
          <c:xVal>
            <c:numRef>
              <c:f>Hárok1!$A$2:$A$5</c:f>
              <c:numCache>
                <c:formatCode>General</c:formatCode>
                <c:ptCount val="4"/>
                <c:pt idx="0">
                  <c:v>0.1</c:v>
                </c:pt>
                <c:pt idx="1">
                  <c:v>1.1000000000000001</c:v>
                </c:pt>
                <c:pt idx="2">
                  <c:v>-7.9</c:v>
                </c:pt>
                <c:pt idx="3">
                  <c:v>-10.8</c:v>
                </c:pt>
              </c:numCache>
            </c:numRef>
          </c:xVal>
          <c:yVal>
            <c:numRef>
              <c:f>Hárok1!$B$2:$B$5</c:f>
              <c:numCache>
                <c:formatCode>General</c:formatCode>
                <c:ptCount val="4"/>
                <c:pt idx="0">
                  <c:v>2.1</c:v>
                </c:pt>
                <c:pt idx="1">
                  <c:v>-0.8</c:v>
                </c:pt>
                <c:pt idx="2">
                  <c:v>-3.5</c:v>
                </c:pt>
                <c:pt idx="3">
                  <c:v>-7.1</c:v>
                </c:pt>
              </c:numCache>
            </c:numRef>
          </c:yVal>
          <c:smooth val="0"/>
          <c:extLst>
            <c:ext xmlns:c16="http://schemas.microsoft.com/office/drawing/2014/chart" uri="{C3380CC4-5D6E-409C-BE32-E72D297353CC}">
              <c16:uniqueId val="{00000000-9DBA-4ADB-871A-61D9482BDC4A}"/>
            </c:ext>
          </c:extLst>
        </c:ser>
        <c:dLbls>
          <c:showLegendKey val="0"/>
          <c:showVal val="0"/>
          <c:showCatName val="0"/>
          <c:showSerName val="0"/>
          <c:showPercent val="0"/>
          <c:showBubbleSize val="0"/>
        </c:dLbls>
        <c:axId val="225683328"/>
        <c:axId val="242819456"/>
      </c:scatterChart>
      <c:valAx>
        <c:axId val="225683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first</a:t>
                </a:r>
                <a:r>
                  <a:rPr lang="sk-SK" baseline="0" dirty="0"/>
                  <a:t> </a:t>
                </a:r>
                <a:r>
                  <a:rPr lang="sk-SK" baseline="0" dirty="0" err="1"/>
                  <a:t>sample</a:t>
                </a:r>
                <a:endParaRPr lang="sk-SK" dirty="0"/>
              </a:p>
            </c:rich>
          </c:tx>
          <c:layout>
            <c:manualLayout>
              <c:xMode val="edge"/>
              <c:yMode val="edge"/>
              <c:x val="0.4106111462344581"/>
              <c:y val="0.9231029454651498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42819456"/>
        <c:crosses val="autoZero"/>
        <c:crossBetween val="midCat"/>
      </c:valAx>
      <c:valAx>
        <c:axId val="242819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dirty="0" err="1"/>
                  <a:t>Diff</a:t>
                </a:r>
                <a:r>
                  <a:rPr lang="sk-SK" dirty="0"/>
                  <a:t>%</a:t>
                </a:r>
                <a:r>
                  <a:rPr lang="sk-SK" baseline="0" dirty="0"/>
                  <a:t> </a:t>
                </a:r>
                <a:r>
                  <a:rPr lang="sk-SK" baseline="0" dirty="0" err="1"/>
                  <a:t>second</a:t>
                </a:r>
                <a:r>
                  <a:rPr lang="sk-SK" baseline="0" dirty="0"/>
                  <a:t> </a:t>
                </a:r>
                <a:r>
                  <a:rPr lang="sk-SK" baseline="0" dirty="0" err="1"/>
                  <a:t>sample</a:t>
                </a:r>
                <a:endParaRPr lang="sk-SK" dirty="0"/>
              </a:p>
            </c:rich>
          </c:tx>
          <c:layout>
            <c:manualLayout>
              <c:xMode val="edge"/>
              <c:yMode val="edge"/>
              <c:x val="1.2165450121654499E-2"/>
              <c:y val="0.3513611249044321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256833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467</Words>
  <Characters>2666</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Slobodnikova</dc:creator>
  <cp:lastModifiedBy>Jana Slobodníková</cp:lastModifiedBy>
  <cp:revision>4</cp:revision>
  <dcterms:created xsi:type="dcterms:W3CDTF">2020-01-22T19:30:00Z</dcterms:created>
  <dcterms:modified xsi:type="dcterms:W3CDTF">2020-01-22T19:40:00Z</dcterms:modified>
</cp:coreProperties>
</file>