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jpeg" ContentType="image/jpeg"/>
  <Default Extension="jpg" ContentType="image/jpeg"/>
  <Default Extension="png" ContentType="image/png"/>
  <Default Extension="wmf" ContentType="image/x-wmf"/>
  <Default Extension="gif" ContentType="image/gif"/>
  <Default Extension="tiff" ContentType="image/tiff"/>
  <Default Extension="emf" ContentType="image/x-emf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mv="urn:schemas-microsoft-com:mac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c="http://schemas.openxmlformats.org/drawingml/2006/chart" xmlns:a14="http://schemas.microsoft.com/office/drawing/2010/main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15 wp14">
  <w:body>
    <w:p>
      <w:pPr>
        <w:rPr>
          <w:sz w:val="36.0"/>
          <w:szCs w:val="36.0"/>
          <w:lang w:val="en-gb"/>
        </w:rPr>
      </w:pPr>
      <w:r>
        <w:rPr>
          <w:sz w:val="36.0"/>
          <w:szCs w:val="36.0"/>
          <w:rFonts w:ascii="Calibri"/>
          <w:lang w:val="en-gb" w:bidi="ar-sa"/>
        </w:rPr>
        <w:t>Skin metastases of rectal adenocarcinoma: about one case.</w:t>
      </w:r>
    </w:p>
    <w:p>
      <w:pPr>
        <w:spacing w:after="0"/>
        <w:rPr>
          <w:b w:val="1"/>
          <w:sz w:val="28.0"/>
          <w:szCs w:val="28.0"/>
          <w:lang w:val="en-gb"/>
        </w:rPr>
      </w:pPr>
      <w:r>
        <w:rPr>
          <w:b w:val="1"/>
          <w:sz w:val="28.0"/>
          <w:szCs w:val="28.0"/>
          <w:rFonts w:ascii="Calibri"/>
          <w:lang w:val="en-gb" w:bidi="ar-sa"/>
        </w:rPr>
        <w:t>K. GAROUI, D. ZERROUK, T.FILALI</w:t>
      </w:r>
    </w:p>
    <w:p>
      <w:pPr>
        <w:spacing w:after="0"/>
        <w:rPr>
          <w:b w:val="1"/>
          <w:sz w:val="28.0"/>
          <w:szCs w:val="28.0"/>
          <w:lang w:val="en-gb"/>
        </w:rPr>
      </w:pPr>
      <w:r>
        <w:rPr>
          <w:b w:val="1"/>
          <w:sz w:val="28.0"/>
          <w:szCs w:val="28.0"/>
          <w:rFonts w:ascii="Calibri"/>
          <w:lang w:val="en-gb" w:bidi="ar-sa"/>
        </w:rPr>
        <w:t>Medical Oncology, CAC, CHU Constantine, Algeria</w:t>
      </w:r>
    </w:p>
    <w:p>
      <w:pPr>
        <w:spacing w:after="0"/>
        <w:rPr>
          <w:b w:val="1"/>
          <w:sz w:val="28.0"/>
          <w:szCs w:val="28.0"/>
          <w:rFonts w:ascii="Carlito"/>
          <w:lang w:val="en-gb"/>
        </w:rPr>
      </w:pPr>
    </w:p>
    <w:p>
      <w:pPr>
        <w:spacing w:after="0" w:line="240" w:lineRule="auto"/>
        <w:rPr>
          <w:sz w:val="24.0"/>
          <w:szCs w:val="24.0"/>
          <w:lang w:val="en-gb"/>
        </w:rPr>
      </w:pPr>
      <w:r>
        <w:rPr>
          <w:b w:val="1"/>
          <w:u w:val="single"/>
          <w:sz w:val="24.0"/>
          <w:szCs w:val="24.0"/>
          <w:rFonts w:ascii="Calibri"/>
          <w:lang w:val="en-gb" w:bidi="ar-sa"/>
        </w:rPr>
        <w:t>Introduction:</w:t>
      </w:r>
      <w:r>
        <w:rPr>
          <w:sz w:val="24.0"/>
          <w:szCs w:val="24.0"/>
          <w:rFonts w:ascii="Calibri"/>
          <w:lang w:val="en-gb" w:bidi="ar-sa"/>
        </w:rPr>
        <w:t xml:space="preserve"> Cutaneous metastasis from rectal adenocarcinoma is a rare event, occurring in less than 5%. They appear in an average of 3-4 years after resection of the primary tumour. When present, it usually means the spread of the disease and a poor prognosis.</w:t>
      </w:r>
    </w:p>
    <w:p>
      <w:pPr>
        <w:spacing w:after="0" w:line="240" w:lineRule="auto"/>
        <w:rPr>
          <w:sz w:val="24.0"/>
          <w:szCs w:val="24.0"/>
          <w:lang w:val="en-gb"/>
        </w:rPr>
      </w:pPr>
      <w:r>
        <w:rPr>
          <w:b w:val="1"/>
          <w:u w:val="single"/>
          <w:sz w:val="24.0"/>
          <w:szCs w:val="24.0"/>
          <w:rFonts w:ascii="Calibri"/>
          <w:lang w:val="en-gb" w:bidi="ar-sa"/>
        </w:rPr>
        <w:t>Case report</w:t>
      </w:r>
      <w:r>
        <w:rPr>
          <w:sz w:val="24.0"/>
          <w:szCs w:val="24.0"/>
          <w:rFonts w:ascii="Calibri"/>
          <w:lang w:val="en-gb" w:bidi="ar-sa"/>
        </w:rPr>
        <w:t>: Women 64 years old. Followed in our service for the management of rectal adenocarcinoma metastatic in 2012. The history of the disease dates back 2 years marked by the discovery of a rectal adenocarcinoma (rectum), initially classified T3N2M0, treated with a preoperative chemoraditherapy followed by a surgical resection with anastomosis, in the postoperative, the patient develops a skin nodule at the upper part of the back. Or it was resected with anapath study IHC and returning for a cutaneous metastasis from rectal adenocarcinoma. The staging: local recurrence of rectal process with small nodules infra centimeter bilateral lung.  XELIRI + Bevacizumab treatment. The assessment evaluation: radiological progression with recurrent skin nodule, she suffered one second skin nodule resection and  2nd line treatment with FOLFOX + Bevacizumab, evaluation returning for a new liver damage apparitions , conduct held to the patient under Panitumumab. But before the appariation secondary affects such hydroelectrolytics disorders and impaired general condition of a 1 month discontinuation, evaluation: radiological progression and clinical recurrence of cutaneous nodule of 5 cm; therapeutic window was made.</w:t>
      </w:r>
    </w:p>
    <w:p>
      <w:pPr>
        <w:spacing w:after="0" w:line="240" w:lineRule="auto"/>
        <w:rPr>
          <w:sz w:val="24.0"/>
          <w:szCs w:val="24.0"/>
          <w:lang w:val="en-gb"/>
        </w:rPr>
      </w:pPr>
      <w:r>
        <w:rPr>
          <w:b w:val="1"/>
          <w:u w:val="single"/>
          <w:sz w:val="24.0"/>
          <w:szCs w:val="24.0"/>
          <w:rFonts w:ascii="Calibri"/>
          <w:lang w:val="en-gb" w:bidi="ar-sa"/>
        </w:rPr>
        <w:t>Discussion</w:t>
      </w:r>
      <w:r>
        <w:rPr>
          <w:sz w:val="24.0"/>
          <w:szCs w:val="24.0"/>
          <w:rFonts w:ascii="Calibri"/>
          <w:lang w:val="en-gb" w:bidi="ar-sa"/>
        </w:rPr>
        <w:t>: the cutaneous metastasis is a rare event. Its incidence 3% -10% in patients with a malignant tumour; and 0.7% -5% among colorectal cancer patients, they occur in average within 3or 4years after treatment of the primary cancer. The clinical appearance of metastasis is polymorphic; the single metastatic nodule is the form by far the most frequent: 93%. The topography of the cutaneous metastasis often follows the anatomic site of the primary tumour. Indeed colorectal metastasis are generally loco regional (abdominopelviennes particularly peri umbilical) in 66-82% of cases.</w:t>
      </w:r>
    </w:p>
    <w:p>
      <w:pPr>
        <w:spacing w:after="0" w:line="240" w:lineRule="auto"/>
        <w:rPr>
          <w:sz w:val="24.0"/>
          <w:szCs w:val="24.0"/>
          <w:lang w:val="en-gb"/>
        </w:rPr>
      </w:pPr>
      <w:r>
        <w:rPr>
          <w:sz w:val="24.0"/>
          <w:szCs w:val="24.0"/>
          <w:rFonts w:ascii="Calibri"/>
          <w:lang w:val="en-gb" w:bidi="ar-sa"/>
        </w:rPr>
        <w:t> The most common histological type of the primary digestive tumour according to studies is adenocarcinoma (2/3 of cases).</w:t>
      </w:r>
    </w:p>
    <w:p>
      <w:pPr>
        <w:spacing w:after="0" w:line="240" w:lineRule="auto"/>
        <w:rPr>
          <w:sz w:val="24.0"/>
          <w:szCs w:val="24.0"/>
          <w:lang w:val="en-gb"/>
        </w:rPr>
      </w:pPr>
      <w:r>
        <w:rPr>
          <w:sz w:val="24.0"/>
          <w:szCs w:val="24.0"/>
          <w:rFonts w:ascii="Calibri"/>
          <w:lang w:val="en-gb" w:bidi="ar-sa"/>
        </w:rPr>
        <w:t>The local excision of metastasis skin lesion remains the preferred option of local treatment, no clear guidelines for optimal therapeutic chemotherapy treatment.</w:t>
      </w:r>
    </w:p>
    <w:p>
      <w:pPr>
        <w:spacing w:after="0" w:line="240" w:lineRule="auto"/>
        <w:rPr>
          <w:sz w:val="24.0"/>
          <w:szCs w:val="24.0"/>
          <w:lang w:val="en-gb"/>
        </w:rPr>
      </w:pPr>
      <w:r>
        <w:rPr>
          <w:sz w:val="24.0"/>
          <w:szCs w:val="24.0"/>
          <w:rFonts w:ascii="Calibri"/>
          <w:lang w:val="en-gb" w:bidi="ar-sa"/>
        </w:rPr>
        <w:t>The very poor prognosis with a median survival of 18 months is according to studies.</w:t>
      </w:r>
    </w:p>
    <w:p>
      <w:pPr>
        <w:spacing w:after="0" w:line="240" w:lineRule="auto"/>
        <w:rPr>
          <w:sz w:val="24.0"/>
          <w:szCs w:val="24.0"/>
          <w:lang w:val="en-gb"/>
        </w:rPr>
      </w:pPr>
      <w:r>
        <w:rPr>
          <w:b w:val="1"/>
          <w:u w:val="single"/>
          <w:sz w:val="24.0"/>
          <w:szCs w:val="24.0"/>
          <w:rFonts w:ascii="Calibri"/>
          <w:lang w:val="en-gb" w:bidi="ar-sa"/>
        </w:rPr>
        <w:t>Conclusion</w:t>
      </w:r>
      <w:r>
        <w:rPr>
          <w:sz w:val="24.0"/>
          <w:szCs w:val="24.0"/>
          <w:rFonts w:ascii="Calibri"/>
          <w:lang w:val="en-gb" w:bidi="ar-sa"/>
        </w:rPr>
        <w:t>: Cutaneous metastasis of a rectal carcinoma is a very rare entity.</w:t>
      </w:r>
    </w:p>
    <w:p>
      <w:pPr>
        <w:spacing w:after="0" w:line="240" w:lineRule="auto"/>
        <w:rPr>
          <w:sz w:val="24.0"/>
          <w:szCs w:val="24.0"/>
          <w:lang w:val="en-gb"/>
        </w:rPr>
      </w:pPr>
      <w:r>
        <w:rPr>
          <w:sz w:val="24.0"/>
          <w:szCs w:val="24.0"/>
          <w:rFonts w:ascii="Calibri"/>
          <w:lang w:val="en-gb" w:bidi="ar-sa"/>
        </w:rPr>
        <w:t>Their existence means a spread of the disease and poor prognosis.</w:t>
      </w:r>
    </w:p>
    <w:p>
      <w:pPr>
        <w:spacing w:after="0"/>
        <w:rPr>
          <w:sz w:val="24.0"/>
          <w:szCs w:val="24.0"/>
          <w:lang w:val="en-gb"/>
        </w:rPr>
      </w:pPr>
      <w:r>
        <w:rPr>
          <w:b w:val="1"/>
          <w:u w:val="single"/>
          <w:sz w:val="24.0"/>
          <w:szCs w:val="24.0"/>
          <w:rFonts w:ascii="Calibri"/>
          <w:lang w:val="en-gb" w:bidi="ar-sa"/>
        </w:rPr>
        <w:t>Reference:</w:t>
      </w:r>
    </w:p>
    <w:p>
      <w:pPr>
        <w:jc w:val="both"/>
        <w:spacing w:after="0" w:line="240" w:lineRule="auto"/>
        <w:shd w:val="clear" w:color="auto" w:fill="FFFFFF"/>
        <w:rPr>
          <w:sz w:val="18.0"/>
          <w:szCs w:val="18.0"/>
          <w:color w:val="4C4C4C"/>
          <w:rFonts w:ascii="Trebuchet MS" w:cs="Times New Roman" w:eastAsia="Times New Roman" w:hAnsi="Trebuchet MS"/>
          <w:lang w:val="en-gb" w:eastAsia="fr-fr"/>
        </w:rPr>
      </w:pPr>
      <w:r>
        <w:rPr>
          <w:rFonts w:ascii="Calibri"/>
          <w:lang w:val="en-gb" w:bidi="ar-sa"/>
        </w:rPr>
        <w:t>1</w:t>
      </w:r>
      <w:r>
        <w:rPr>
          <w:sz w:val="18.0"/>
          <w:szCs w:val="18.0"/>
          <w:rFonts w:ascii="Calibri"/>
          <w:lang w:val="en-gb" w:bidi="ar-sa"/>
        </w:rPr>
        <w:t>-Lobna Ayadi</w:t>
      </w:r>
      <w:r>
        <w:rPr>
          <w:sz w:val="18.0"/>
          <w:szCs w:val="18.0"/>
          <w:color w:val="4C4C4C"/>
          <w:rFonts w:ascii="Trebuchet MS" w:hAnsi="Trebuchet MS"/>
          <w:lang w:val="en-gb" w:bidi="ar-sa"/>
          <w:shd w:val="clear" w:color="auto" w:fill="FFFFFF"/>
        </w:rPr>
        <w:t>, </w:t>
      </w:r>
      <w:r>
        <w:rPr>
          <w:sz w:val="18.0"/>
          <w:szCs w:val="18.0"/>
          <w:rFonts w:ascii="Calibri"/>
          <w:lang w:val="en-gb" w:bidi="ar-sa"/>
        </w:rPr>
        <w:t>Jihène Zribi</w:t>
      </w:r>
      <w:r>
        <w:rPr>
          <w:sz w:val="18.0"/>
          <w:szCs w:val="18.0"/>
          <w:color w:val="4C4C4C"/>
          <w:rFonts w:ascii="Trebuchet MS" w:hAnsi="Trebuchet MS"/>
          <w:lang w:val="en-gb" w:bidi="ar-sa"/>
          <w:shd w:val="clear" w:color="auto" w:fill="FFFFFF"/>
        </w:rPr>
        <w:t>, </w:t>
      </w:r>
      <w:r>
        <w:rPr>
          <w:sz w:val="18.0"/>
          <w:szCs w:val="18.0"/>
          <w:rFonts w:ascii="Calibri"/>
          <w:lang w:val="en-gb" w:bidi="ar-sa"/>
        </w:rPr>
        <w:t>Taha J Mziou, and coll. METASTASIS AT THE SCALP OF A SMALL CELL CARCINOMA RECTAL: AN UNUSUAL EVENT.</w:t>
      </w:r>
      <w:r>
        <w:rPr>
          <w:sz w:val="18.0"/>
          <w:szCs w:val="18.0"/>
          <w:color w:val="4C4C4C"/>
          <w:rFonts w:ascii="Trebuchet MS" w:hAnsi="Trebuchet MS"/>
          <w:lang w:val="en-gb" w:bidi="ar-sa"/>
        </w:rPr>
        <w:t xml:space="preserve"> La tunisie Medicale - 2009 ; Vol 87 ( n°05 ) : 354 - 355</w:t>
      </w:r>
    </w:p>
    <w:p>
      <w:pPr>
        <w:pStyle w:val="Titre1"/>
        <w:jc w:val="both"/>
        <w:spacing w:after="0" w:before="0"/>
        <w:shd w:val="clear" w:color="auto" w:fill="FFFFFF"/>
        <w:rPr>
          <w:sz w:val="18.0"/>
          <w:szCs w:val="18.0"/>
          <w:color w:val="756FB3"/>
          <w:lang w:val="en-gb"/>
        </w:rPr>
      </w:pPr>
      <w:r>
        <w:rPr>
          <w:b w:val="0"/>
          <w:sz w:val="18.0"/>
          <w:szCs w:val="18.0"/>
          <w:rFonts w:ascii="Times New Roman"/>
          <w:lang w:val="en-gb" w:bidi="ar-sa"/>
        </w:rPr>
        <w:t>2-</w:t>
      </w:r>
      <w:r>
        <w:rPr>
          <w:sz w:val="24.0"/>
          <w:szCs w:val="24.0"/>
          <w:rFonts w:ascii="Times New Roman"/>
          <w:lang w:val="en-gb" w:bidi="ar-sa"/>
        </w:rPr>
        <w:t xml:space="preserve"> </w:t>
      </w:r>
      <w:r>
        <w:rPr>
          <w:b w:val="0"/>
          <w:sz w:val="18.0"/>
          <w:szCs w:val="18.0"/>
          <w:rFonts w:ascii="Times New Roman"/>
          <w:lang w:val="en-gb" w:bidi="ar-sa"/>
        </w:rPr>
        <w:t xml:space="preserve">Giuseppe lorusso and coll. Subcutaneous metastases from colon cancer: a case report. </w:t>
      </w:r>
      <w:r>
        <w:rPr>
          <w:rStyle w:val="Accentuation"/>
          <w:b w:val="0"/>
          <w:sz w:val="18.0"/>
          <w:szCs w:val="18.0"/>
          <w:rFonts w:ascii="Times New Roman"/>
          <w:lang w:val="en-gb" w:bidi="ar-sa"/>
          <w:shd w:val="clear" w:color="auto" w:fill="FFFFFF"/>
          <w:bdr w:val="none" w:sz="0" w:space="0" w:color="auto"/>
        </w:rPr>
        <w:t>Journal of Medical Case Reports</w:t>
      </w:r>
      <w:r>
        <w:rPr>
          <w:rStyle w:val="apple-converted-space"/>
          <w:b w:val="0"/>
          <w:sz w:val="18.0"/>
          <w:szCs w:val="18.0"/>
          <w:rFonts w:ascii="Times New Roman"/>
          <w:lang w:val="en-gb" w:bidi="ar-sa"/>
          <w:shd w:val="clear" w:color="auto" w:fill="FFFFFF"/>
        </w:rPr>
        <w:t> 2012, </w:t>
      </w:r>
      <w:r>
        <w:rPr>
          <w:rStyle w:val="lev"/>
          <w:sz w:val="18.0"/>
          <w:szCs w:val="18.0"/>
          <w:rFonts w:ascii="Times New Roman"/>
          <w:lang w:val="en-gb" w:bidi="ar-sa"/>
          <w:shd w:val="clear" w:color="auto" w:fill="FFFFFF"/>
          <w:bdr w:val="none" w:sz="0" w:space="0" w:color="auto"/>
        </w:rPr>
        <w:t>6</w:t>
      </w:r>
      <w:r>
        <w:rPr>
          <w:b w:val="0"/>
          <w:sz w:val="18.0"/>
          <w:szCs w:val="18.0"/>
          <w:rFonts w:ascii="Times New Roman"/>
          <w:lang w:val="en-gb" w:bidi="ar-sa"/>
          <w:shd w:val="clear" w:color="auto" w:fill="FFFFFF"/>
        </w:rPr>
        <w:t>:212  </w:t>
      </w:r>
      <w:r>
        <w:rPr>
          <w:rStyle w:val="pseudotab"/>
          <w:b w:val="0"/>
          <w:sz w:val="18.0"/>
          <w:szCs w:val="18.0"/>
          <w:rFonts w:ascii="Times New Roman"/>
          <w:lang w:val="en-gb" w:bidi="ar-sa"/>
          <w:shd w:val="clear" w:color="auto" w:fill="FFFFFF"/>
          <w:bdr w:val="none" w:sz="0" w:space="0" w:color="auto"/>
        </w:rPr>
        <w:t>doi:10.1186/1752-1947-6-212.</w:t>
      </w:r>
    </w:p>
    <w:p>
      <w:pPr>
        <w:pStyle w:val="Titre1"/>
        <w:jc w:val="both"/>
        <w:spacing w:after="0" w:before="0"/>
        <w:rPr>
          <w:b w:val="0"/>
          <w:sz w:val="18.0"/>
          <w:szCs w:val="18.0"/>
          <w:color w:val="365266"/>
          <w:lang w:val="en-gb"/>
        </w:rPr>
      </w:pPr>
      <w:r>
        <w:rPr>
          <w:b w:val="0"/>
          <w:sz w:val="18.0"/>
          <w:szCs w:val="18.0"/>
          <w:rFonts w:ascii="Times New Roman"/>
          <w:lang w:val="en-gb" w:bidi="ar-sa"/>
        </w:rPr>
        <w:t>3</w:t>
      </w:r>
      <w:r>
        <w:rPr>
          <w:sz w:val="18.0"/>
          <w:szCs w:val="18.0"/>
          <w:rFonts w:ascii="Times New Roman"/>
          <w:lang w:val="en-gb" w:bidi="ar-sa"/>
        </w:rPr>
        <w:t>-</w:t>
      </w:r>
      <w:r>
        <w:rPr>
          <w:sz w:val="18.0"/>
          <w:szCs w:val="18.0"/>
          <w:color w:val="365266"/>
          <w:rFonts w:ascii="Verdana" w:hAnsi="Verdana"/>
          <w:lang w:val="en-gb" w:bidi="ar-sa"/>
        </w:rPr>
        <w:t xml:space="preserve"> </w:t>
      </w:r>
      <w:r>
        <w:rPr>
          <w:b w:val="0"/>
          <w:sz w:val="18.0"/>
          <w:szCs w:val="18.0"/>
          <w:rFonts w:ascii="Times New Roman"/>
          <w:lang w:val="en-gb" w:bidi="ar-sa"/>
        </w:rPr>
        <w:t>Skin metastasis. DermNet NZ.Created 2005. Last modified 03 Sep 2015.  2016 DermNet New Zealand Trust.table.</w:t>
      </w:r>
    </w:p>
    <w:p>
      <w:pPr>
        <w:pStyle w:val="Titre1"/>
        <w:jc w:val="both"/>
        <w:spacing w:after="0" w:before="0"/>
        <w:rPr>
          <w:b w:val="0"/>
          <w:sz w:val="18.0"/>
          <w:szCs w:val="18.0"/>
          <w:color w:val="365266"/>
          <w:lang w:val="en-gb"/>
        </w:rPr>
      </w:pPr>
      <w:r>
        <w:rPr>
          <w:b w:val="0"/>
          <w:sz w:val="18.0"/>
          <w:szCs w:val="18.0"/>
          <w:rFonts w:ascii="Times New Roman"/>
          <w:lang w:val="en-gb" w:bidi="ar-sa"/>
        </w:rPr>
        <w:t>4</w:t>
      </w:r>
      <w:r>
        <w:rPr>
          <w:sz w:val="18.0"/>
          <w:szCs w:val="18.0"/>
          <w:rFonts w:ascii="Times New Roman"/>
          <w:lang w:val="en-gb" w:bidi="ar-sa"/>
        </w:rPr>
        <w:t>-</w:t>
      </w:r>
      <w:hyperlink w:history="1" r:id="rId5">
        <w:r>
          <w:rPr>
            <w:rStyle w:val="Lienhypertexte"/>
            <w:b w:val="0"/>
            <w:sz w:val="18.0"/>
            <w:szCs w:val="18.0"/>
            <w:color w:val="auto"/>
            <w:rFonts w:ascii="Times New Roman"/>
            <w:lang w:val="en-gb" w:bidi="ar-sa"/>
            <w:shd w:val="clear" w:color="auto" w:fill="FFFFFF"/>
          </w:rPr>
          <w:t>Ioannis Nesseris</w:t>
        </w:r>
      </w:hyperlink>
      <w:r>
        <w:rPr>
          <w:b w:val="0"/>
          <w:sz w:val="18.0"/>
          <w:szCs w:val="18.0"/>
          <w:rFonts w:ascii="Times New Roman"/>
          <w:lang w:val="en-gb" w:bidi="ar-sa"/>
          <w:shd w:val="clear" w:color="auto" w:fill="FFFFFF"/>
        </w:rPr>
        <w:t>,</w:t>
      </w:r>
      <w:r>
        <w:rPr>
          <w:b w:val="0"/>
          <w:sz w:val="18.0"/>
          <w:szCs w:val="18.0"/>
          <w:rFonts w:ascii="Times New Roman"/>
          <w:lang w:val="en-gb" w:bidi="ar-sa"/>
        </w:rPr>
        <w:t xml:space="preserve"> and coll.</w:t>
      </w:r>
      <w:r>
        <w:rPr>
          <w:sz w:val="18.0"/>
          <w:szCs w:val="18.0"/>
          <w:rFonts w:ascii="Times New Roman"/>
          <w:lang w:val="en-gb" w:bidi="ar-sa"/>
        </w:rPr>
        <w:t xml:space="preserve"> </w:t>
      </w:r>
      <w:r>
        <w:rPr>
          <w:b w:val="0"/>
          <w:sz w:val="18.0"/>
          <w:szCs w:val="18.0"/>
          <w:color w:val="000000"/>
          <w:rFonts w:ascii="Times New Roman"/>
          <w:vanish/>
          <w:lang w:bidi="ar-sa"/>
        </w:rPr>
        <w:t>Cutaneous metastasis of colon adenocarcinoma: case report and review of the literaturecutanous metastasis of colon adenocarcinoma: case report and review of literature. An Bras Dermatol. 2013 Nov-Dec; 88(6 Suppl 1): 56–58. doi:  </w:t>
      </w:r>
      <w:hyperlink w:history="1" w:tgtFrame="pmc_ext" r:id="rId6">
        <w:r>
          <w:rPr>
            <w:b w:val="0"/>
            <w:u w:val="single"/>
            <w:sz w:val="18.0"/>
            <w:szCs w:val="18.0"/>
            <w:rFonts w:ascii="Times New Roman"/>
            <w:lang w:val="en-gb" w:bidi="ar-sa"/>
          </w:rPr>
          <w:t>10.1590/abd1806 4841.20132441</w:t>
        </w:r>
      </w:hyperlink>
    </w:p>
    <w:p>
      <w:pPr>
        <w:pStyle w:val="Titre1"/>
        <w:spacing w:after="120" w:before="240"/>
        <w:shd w:val="clear" w:color="auto" w:fill="FFFFFF"/>
        <w:rPr>
          <w:sz w:val="18.0"/>
          <w:szCs w:val="18.0"/>
          <w:lang w:val="en-gb"/>
        </w:rPr>
      </w:pPr>
    </w:p>
    <w:p>
      <w:pPr>
        <w:pStyle w:val="Titre1"/>
        <w:spacing w:after="120" w:before="240"/>
        <w:shd w:val="clear" w:color="auto" w:fill="FFFFFF"/>
        <w:rPr>
          <w:sz w:val="18.0"/>
          <w:szCs w:val="18.0"/>
          <w:rFonts w:ascii="Arial" w:cs="Arial" w:hAnsi="Arial"/>
          <w:vanish/>
        </w:rPr>
      </w:pPr>
      <w:r>
        <w:rPr>
          <w:sz w:val="33.0"/>
          <w:szCs w:val="33.0"/>
          <w:color w:val="000000"/>
          <w:rFonts w:ascii="Arial" w:cs="Arial" w:hAnsi="Arial"/>
          <w:lang w:bidi="ar-sa"/>
        </w:rPr>
      </w:r>
    </w:p>
    <w:p>
      <w:pPr>
        <w:spacing w:after="0"/>
        <w:rPr>
          <w:b w:val="1"/>
          <w:sz w:val="18.0"/>
          <w:szCs w:val="18.0"/>
          <w:rFonts w:ascii="Arial" w:cs="Arial" w:eastAsia="Times New Roman" w:hAnsi="Arial"/>
          <w:lang w:eastAsia="fr-fr"/>
          <w:kern w:val="36"/>
        </w:rPr>
      </w:pPr>
    </w:p>
    <w:sectPr>
      <w:pgSz w:w="11906" w:h="16838" w:orient="portrait"/>
      <w:pgMar w:bottom="1417" w:top="1417" w:right="1417" w:left="1417" w:header="708" w:footer="708" w:gutter="0"/>
      <w:cols w:space="708" w:equalWidth="true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ton">
    <w:panose1 w:val="02000503000000000000"/>
    <w:charset w:val="00"/>
    <w:family w:val="auto"/>
    <w:pitch w:val="variable"/>
    <w:notTrueType w:val="true"/>
    <w:sig w:usb0="A00000EF" w:usb1="5000204B" w:usb2="00000000" w:usb3="00000000" w:csb0="00000001" w:csb1="00000000"/>
  </w:font>
  <w:font w:name="Archivo Black">
    <w:panose1 w:val="020B0A04020102020204"/>
    <w:charset w:val="00"/>
    <w:family w:val="auto"/>
    <w:pitch w:val="variable"/>
    <w:notTrueType w:val="true"/>
    <w:sig w:usb0="A000002F" w:usb1="500000FA" w:usb2="00000000" w:usb3="00000000" w:csb0="00000093" w:csb1="00000000"/>
  </w:font>
  <w:font w:name="Archivo Narrow">
    <w:altName w:val="Arial Narrow"/>
    <w:panose1 w:val="02000000000000000000"/>
    <w:charset w:val="00"/>
    <w:family w:val="auto"/>
    <w:pitch w:val="variable"/>
    <w:notTrueType w:val="true"/>
    <w:sig w:usb0="A000002F" w:usb1="100000FA" w:usb2="00000000" w:usb3="00000000" w:csb0="00000093" w:csb1="00000000"/>
  </w:font>
  <w:font w:name="Arimo">
    <w:altName w:val="Arial"/>
    <w:panose1 w:val="020B0604020202020204"/>
    <w:charset w:val="CC"/>
    <w:family w:val="swiss"/>
    <w:pitch w:val="variable"/>
    <w:notTrueType w:val="true"/>
    <w:sig w:usb0="E0002AFF" w:usb1="C0007843" w:usb2="00000009" w:usb3="00000000" w:csb0="000001FF" w:csb1="00000000"/>
  </w:font>
  <w:font w:name="Caladea">
    <w:altName w:val="Cambria"/>
    <w:panose1 w:val="02040503050406030204"/>
    <w:charset w:val="00"/>
    <w:family w:val="auto"/>
    <w:pitch w:val="variable"/>
    <w:notTrueType w:val="true"/>
    <w:sig w:usb0="A000002F" w:usb1="500000FB" w:usb2="00000000" w:usb3="00000000" w:csb0="00000093" w:csb1="00000000"/>
  </w:font>
  <w:font w:name="Carlito">
    <w:altName w:val="Calibri"/>
    <w:panose1 w:val="020F0502020204030204"/>
    <w:charset w:val="00"/>
    <w:family w:val="auto"/>
    <w:pitch w:val="variable"/>
    <w:notTrueType w:val="true"/>
    <w:sig w:usb0="E10002FF" w:usb1="5000ECFF" w:usb2="00000009" w:usb3="00000000" w:csb0="0000019F" w:csb1="00000000"/>
  </w:font>
  <w:font w:name="Cousine">
    <w:altName w:val="Courier New"/>
    <w:panose1 w:val="02070309020205020404"/>
    <w:charset w:val="CC"/>
    <w:family w:val="modern"/>
    <w:pitch w:val="fixed"/>
    <w:notTrueType w:val="true"/>
    <w:sig w:usb0="E0002AFF" w:usb1="C0007843" w:usb2="00000009" w:usb3="00000000" w:csb0="000001FF" w:csb1="00000000"/>
  </w:font>
  <w:font w:name="Droid Sans">
    <w:panose1 w:val="020B0606030804020204"/>
    <w:charset w:val="00"/>
    <w:family w:val="auto"/>
    <w:pitch w:val="variable"/>
    <w:notTrueType w:val="true"/>
    <w:sig w:usb0="E00002EF" w:usb1="4000205B" w:usb2="00000028" w:usb3="00000000" w:csb0="0000019F" w:csb1="00000000"/>
  </w:font>
  <w:font w:name="Droid Sans Mono">
    <w:panose1 w:val="020B0609030804020204"/>
    <w:charset w:val="00"/>
    <w:family w:val="auto"/>
    <w:pitch w:val="variable"/>
    <w:notTrueType w:val="true"/>
    <w:sig w:usb0="E00002EF" w:usb1="4000205B" w:usb2="00000028" w:usb3="00000000" w:csb0="0000019F" w:csb1="00000000"/>
  </w:font>
  <w:font w:name="Droid Serif">
    <w:panose1 w:val="02020600060500020200"/>
    <w:charset w:val="00"/>
    <w:family w:val="auto"/>
    <w:pitch w:val="variable"/>
    <w:notTrueType w:val="true"/>
    <w:sig w:usb0="E00002EF" w:usb1="4000205B" w:usb2="00000028" w:usb3="00000000" w:csb0="0000019F" w:csb1="00000000"/>
  </w:font>
  <w:font w:name="Noto Sans Symbols">
    <w:altName w:val="Symbol"/>
    <w:panose1 w:val="05050102010706020507"/>
    <w:charset w:val="02"/>
    <w:family w:val="roman"/>
    <w:pitch w:val="variable"/>
    <w:notTrueType w:val="true"/>
    <w:sig w:usb0="00000000" w:usb1="10000000" w:usb2="00000000" w:usb3="00000000" w:csb0="80000000" w:csb1="00000000"/>
  </w:font>
  <w:font w:name="Pinyon Script">
    <w:altName w:val="Zapfino"/>
    <w:panose1 w:val="020105010801010D0002"/>
    <w:charset w:val="00"/>
    <w:family w:val="auto"/>
    <w:pitch w:val="variable"/>
    <w:notTrueType w:val="true"/>
    <w:sig w:usb0="800000AF" w:usb1="00000002" w:usb2="00000000" w:usb3="00000000" w:csb0="00000111" w:csb1="00000000"/>
  </w:font>
  <w:font w:name="Tinos">
    <w:altName w:val="Times New Roman"/>
    <w:panose1 w:val="02020603050405020304"/>
    <w:charset w:val="CC"/>
    <w:family w:val="roman"/>
    <w:pitch w:val="variable"/>
    <w:notTrueType w:val="tru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notTrueType w:val="tru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notTrueType w:val="tru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notTrueType w:val="tru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notTrueType w:val="tru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notTrueType w:val="tru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notTrueType w:val="tru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mv="urn:schemas-microsoft-com:mac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c="http://schemas.openxmlformats.org/drawingml/2006/chart" xmlns:a14="http://schemas.microsoft.com/office/drawing/2010/main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15 wp14">
  <w:abstractNum w:abstractNumId="0">
    <w:multiLevelType w:val="hybridMultilevel"/>
    <w:lvl w:ilvl="0">
      <w:numFmt w:val="decimal"/>
      <w:lvlText w:val="%1-"/>
      <w:lvlJc w:val="left"/>
      <w:start w:val="1"/>
      <w:pPr>
        <w:ind w:left="720" w:hanging="360"/>
      </w:pPr>
      <w:rPr>
        <w:rFonts w:hint="default"/>
      </w:rPr>
    </w:lvl>
    <w:lvl w:ilvl="1">
      <w:numFmt w:val="lowerLetter"/>
      <w:lvlText w:val="%2."/>
      <w:lvlJc w:val="left"/>
      <w:start w:val="1"/>
      <w:pPr>
        <w:ind w:left="1440" w:hanging="360"/>
      </w:pPr>
    </w:lvl>
    <w:lvl w:ilvl="2">
      <w:numFmt w:val="lowerRoman"/>
      <w:lvlText w:val="%3."/>
      <w:lvlJc w:val="right"/>
      <w:start w:val="1"/>
      <w:pPr>
        <w:ind w:left="2160" w:hanging="180"/>
      </w:pPr>
    </w:lvl>
    <w:lvl w:ilvl="3">
      <w:numFmt w:val="decimal"/>
      <w:lvlText w:val="%4."/>
      <w:lvlJc w:val="left"/>
      <w:start w:val="1"/>
      <w:pPr>
        <w:ind w:left="2880" w:hanging="360"/>
      </w:pPr>
    </w:lvl>
    <w:lvl w:ilvl="4">
      <w:numFmt w:val="lowerLetter"/>
      <w:lvlText w:val="%5."/>
      <w:lvlJc w:val="left"/>
      <w:start w:val="1"/>
      <w:pPr>
        <w:ind w:left="3600" w:hanging="360"/>
      </w:pPr>
    </w:lvl>
    <w:lvl w:ilvl="5">
      <w:numFmt w:val="lowerRoman"/>
      <w:lvlText w:val="%6."/>
      <w:lvlJc w:val="right"/>
      <w:start w:val="1"/>
      <w:pPr>
        <w:ind w:left="4320" w:hanging="180"/>
      </w:pPr>
    </w:lvl>
    <w:lvl w:ilvl="6">
      <w:numFmt w:val="decimal"/>
      <w:lvlText w:val="%7."/>
      <w:lvlJc w:val="left"/>
      <w:start w:val="1"/>
      <w:pPr>
        <w:ind w:left="5040" w:hanging="360"/>
      </w:pPr>
    </w:lvl>
    <w:lvl w:ilvl="7">
      <w:numFmt w:val="lowerLetter"/>
      <w:lvlText w:val="%8."/>
      <w:lvlJc w:val="left"/>
      <w:start w:val="1"/>
      <w:pPr>
        <w:ind w:left="5760" w:hanging="360"/>
      </w:pPr>
    </w:lvl>
    <w:lvl w:ilvl="8">
      <w:numFmt w:val="lowerRoman"/>
      <w:lvlText w:val="%9."/>
      <w:lvlJc w:val="right"/>
      <w:start w:val="1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25FC"/>
    <w:rsid w:val="00074A79"/>
    <w:rsid w:val="000872CA"/>
    <w:rsid w:val="00305A6D"/>
    <w:rsid w:val="0043282A"/>
    <w:rsid w:val="004B2934"/>
    <w:rsid w:val="004D25FC"/>
    <w:rsid w:val="006F43F1"/>
    <w:rsid w:val="00731B88"/>
    <w:rsid w:val="00745528"/>
    <w:rsid w:val="00A80FBF"/>
    <w:rsid w:val="00C74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mv="urn:schemas-microsoft-com:mac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c="http://schemas.openxmlformats.org/drawingml/2006/chart" xmlns:a14="http://schemas.microsoft.com/office/drawing/2010/main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15 wp14">
  <w:docDefaults>
    <w:rPrDefault>
      <w:rPr>
        <w:sz w:val="22.0"/>
        <w:szCs w:val="22.0"/>
        <w:rFonts w:ascii="Calibri"/>
        <w:lang w:val="fr-fr" w:bidi="ar-sa" w:eastAsia="en-us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</w:style>
  <w:style w:type="paragraph" w:styleId="Titre1">
    <w:name w:val="heading 1"/>
    <w:link w:val="Titre1Car"/>
    <w:basedOn w:val="Normal"/>
    <w:uiPriority w:val="9"/>
    <w:qFormat/>
    <w:rPr>
      <w:b w:val="1"/>
      <w:sz w:val="48.0"/>
      <w:szCs w:val="48.0"/>
      <w:rFonts w:ascii="Times New Roman" w:cs="Times New Roman" w:eastAsia="Times New Roman" w:hAnsi="Times New Roman"/>
      <w:lang w:eastAsia="fr-fr"/>
      <w:kern w:val="36"/>
    </w:rPr>
    <w:pPr>
      <w:outlineLvl w:val="0"/>
      <w:spacing w:after="100" w:before="100" w:line="240" w:lineRule="auto" w:beforeAutospacing="1" w:afterAutospacing="1"/>
      <w:rPr>
        <w:b w:val="1"/>
        <w:sz w:val="48.0"/>
        <w:szCs w:val="48.0"/>
        <w:rFonts w:ascii="Times New Roman" w:cs="Times New Roman" w:eastAsia="Times New Roman" w:hAnsi="Times New Roman"/>
        <w:lang w:eastAsia="fr-fr"/>
        <w:kern w:val="36"/>
      </w:rPr>
    </w:pPr>
  </w:style>
  <w:style w:type="character" w:default="1" w:styleId="Policepardfaut">
    <w:name w:val="Default Paragraph Font"/>
    <w:uiPriority w:val="1"/>
  </w:style>
  <w:style w:type="table" w:default="1" w:styleId="TableauNormal">
    <w:name w:val="Normal Table"/>
    <w:uiPriority w:val="99"/>
    <w:qFormat/>
    <w:tblPr>
      <w:tblW w:w="0" w:type="nil"/>
      <w:tblInd w:w="0" w:type="dxa"/>
      <w:tblBorders/>
      <w:tblCellMar>
        <w:top w:w="0" w:type="dxa"/>
        <w:bottom w:w="0" w:type="dxa"/>
        <w:left w:w="108" w:type="dxa"/>
        <w:right w:w="108" w:type="dxa"/>
      </w:tblCellMar>
    </w:tblPr>
  </w:style>
  <w:style w:type="numbering" w:default="1" w:styleId="Aucuneliste">
    <w:name w:val="No List"/>
    <w:uiPriority w:val="99"/>
  </w:style>
  <w:style w:type="paragraph" w:styleId="Paragraphedeliste">
    <w:name w:val="List Paragraph"/>
    <w:basedOn w:val="Normal"/>
    <w:uiPriority w:val="34"/>
    <w:qFormat/>
    <w:pPr>
      <w:contextualSpacing w:val="true"/>
      <w:ind w:left="720"/>
    </w:pPr>
  </w:style>
  <w:style w:type="character" w:customStyle="1" w:styleId="apple-converted-space">
    <w:name w:val="apple-converted-space"/>
    <w:basedOn w:val="Policepardfaut"/>
  </w:style>
  <w:style w:type="character" w:styleId="Lienhypertexte">
    <w:name w:val="Hyperlink"/>
    <w:basedOn w:val="Policepardfaut"/>
    <w:uiPriority w:val="99"/>
    <w:rPr>
      <w:u w:val="single"/>
      <w:color w:val="0000FF"/>
    </w:rPr>
  </w:style>
  <w:style w:type="character" w:customStyle="1" w:styleId="Titre1Car">
    <w:name w:val="Titre 1 Car"/>
    <w:link w:val="Titre1"/>
    <w:basedOn w:val="Policepardfaut"/>
    <w:uiPriority w:val="9"/>
    <w:rPr>
      <w:b w:val="1"/>
      <w:sz w:val="48.0"/>
      <w:szCs w:val="48.0"/>
      <w:rFonts w:ascii="Times New Roman" w:cs="Times New Roman" w:eastAsia="Times New Roman" w:hAnsi="Times New Roman"/>
      <w:lang w:eastAsia="fr-fr"/>
      <w:kern w:val="36"/>
    </w:rPr>
  </w:style>
  <w:style w:type="character" w:customStyle="1" w:styleId="cit">
    <w:name w:val="cit"/>
    <w:basedOn w:val="Policepardfaut"/>
  </w:style>
  <w:style w:type="character" w:customStyle="1" w:styleId="doi">
    <w:name w:val="doi"/>
    <w:basedOn w:val="Policepardfaut"/>
  </w:style>
  <w:style w:type="character" w:styleId="Accentuation">
    <w:name w:val="Emphasis"/>
    <w:basedOn w:val="Policepardfaut"/>
    <w:uiPriority w:val="20"/>
    <w:qFormat/>
    <w:rPr>
      <w:i w:val="1"/>
    </w:rPr>
  </w:style>
  <w:style w:type="character" w:styleId="lev">
    <w:name w:val="Strong"/>
    <w:basedOn w:val="Policepardfaut"/>
    <w:uiPriority w:val="22"/>
    <w:qFormat/>
    <w:rPr>
      <w:b w:val="1"/>
    </w:rPr>
  </w:style>
  <w:style w:type="character" w:customStyle="1" w:styleId="pseudotab">
    <w:name w:val="pseudotab"/>
    <w:basedOn w:val="Policepardfau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5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/10.1590%2Fabd1806-4841.20132441" TargetMode="External"/><Relationship Id="rId5" Type="http://schemas.openxmlformats.org/officeDocument/2006/relationships/hyperlink" Target="http://www.ncbi.nlm.nih.gov/pubmed/?term=Nesseris%20I%5Bauth%5D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Quickword</Application>
  <DocSecurity>0</DocSecurity>
  <Lines>1</Lines>
  <Paragraphs>7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4</cp:revision>
  <dcterms:created xsi:type="dcterms:W3CDTF">2015-12-10T20:29:00Z</dcterms:created>
  <dcterms:modified xsi:type="dcterms:W3CDTF">2016-02-02T21:44:00Z</dcterms:modified>
</cp:coreProperties>
</file>