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F25279" w14:textId="1B511E66" w:rsidR="00107F6B" w:rsidRDefault="00107F6B">
      <w:pPr>
        <w:rPr>
          <w:sz w:val="24"/>
          <w:szCs w:val="24"/>
        </w:rPr>
      </w:pPr>
      <w:r w:rsidRPr="00242922">
        <w:rPr>
          <w:b/>
          <w:sz w:val="24"/>
          <w:szCs w:val="24"/>
        </w:rPr>
        <w:t>Title:</w:t>
      </w:r>
      <w:r w:rsidRPr="00650F56">
        <w:rPr>
          <w:sz w:val="24"/>
          <w:szCs w:val="24"/>
        </w:rPr>
        <w:t xml:space="preserve"> </w:t>
      </w:r>
      <w:r w:rsidR="00FF00EC">
        <w:rPr>
          <w:sz w:val="24"/>
          <w:szCs w:val="24"/>
        </w:rPr>
        <w:t xml:space="preserve">A closer look at the epidemiology of </w:t>
      </w:r>
      <w:r w:rsidRPr="00650F56">
        <w:rPr>
          <w:sz w:val="24"/>
          <w:szCs w:val="24"/>
        </w:rPr>
        <w:t xml:space="preserve">Lung Cancer in Cuba, 1999 </w:t>
      </w:r>
      <w:r w:rsidR="00FF00EC">
        <w:rPr>
          <w:sz w:val="24"/>
          <w:szCs w:val="24"/>
        </w:rPr>
        <w:t>–</w:t>
      </w:r>
      <w:r w:rsidRPr="00650F56">
        <w:rPr>
          <w:sz w:val="24"/>
          <w:szCs w:val="24"/>
        </w:rPr>
        <w:t xml:space="preserve"> 201</w:t>
      </w:r>
      <w:r w:rsidR="00FF00EC">
        <w:rPr>
          <w:sz w:val="24"/>
          <w:szCs w:val="24"/>
        </w:rPr>
        <w:t>2</w:t>
      </w:r>
    </w:p>
    <w:p w14:paraId="5D00C5D7" w14:textId="6D284631" w:rsidR="00FF00EC" w:rsidRPr="00FF00EC" w:rsidRDefault="00FF00EC" w:rsidP="00FF00EC">
      <w:pPr>
        <w:rPr>
          <w:sz w:val="24"/>
          <w:szCs w:val="24"/>
        </w:rPr>
      </w:pPr>
      <w:r w:rsidRPr="003436F6">
        <w:rPr>
          <w:b/>
          <w:sz w:val="24"/>
          <w:szCs w:val="24"/>
        </w:rPr>
        <w:t>Authors</w:t>
      </w:r>
      <w:r>
        <w:rPr>
          <w:sz w:val="24"/>
          <w:szCs w:val="24"/>
        </w:rPr>
        <w:t>: Kath</w:t>
      </w:r>
      <w:r w:rsidR="003436F6">
        <w:rPr>
          <w:sz w:val="24"/>
          <w:szCs w:val="24"/>
        </w:rPr>
        <w:t xml:space="preserve">erine Y. Tossas-Milligan, PhD, MS; </w:t>
      </w:r>
      <w:r w:rsidR="003436F6" w:rsidRPr="00FF00EC">
        <w:rPr>
          <w:sz w:val="24"/>
          <w:szCs w:val="24"/>
        </w:rPr>
        <w:t>K</w:t>
      </w:r>
      <w:r w:rsidR="003436F6">
        <w:rPr>
          <w:sz w:val="24"/>
          <w:szCs w:val="24"/>
        </w:rPr>
        <w:t xml:space="preserve">arriem S. Watson, DHSc, MS, </w:t>
      </w:r>
      <w:r w:rsidR="00125486">
        <w:rPr>
          <w:sz w:val="24"/>
          <w:szCs w:val="24"/>
        </w:rPr>
        <w:t xml:space="preserve">Davyd Chung, PhD; </w:t>
      </w:r>
      <w:bookmarkStart w:id="0" w:name="_GoBack"/>
      <w:bookmarkEnd w:id="0"/>
      <w:r w:rsidR="003436F6">
        <w:rPr>
          <w:sz w:val="24"/>
          <w:szCs w:val="24"/>
        </w:rPr>
        <w:t>MPH;</w:t>
      </w:r>
      <w:r w:rsidR="003436F6" w:rsidRPr="00FF00EC">
        <w:rPr>
          <w:sz w:val="24"/>
          <w:szCs w:val="24"/>
        </w:rPr>
        <w:t xml:space="preserve"> Patricia Varona Perez, MD, MPH</w:t>
      </w:r>
      <w:r w:rsidR="003436F6">
        <w:rPr>
          <w:sz w:val="24"/>
          <w:szCs w:val="24"/>
        </w:rPr>
        <w:t xml:space="preserve">; </w:t>
      </w:r>
      <w:r w:rsidRPr="00FF00EC">
        <w:rPr>
          <w:sz w:val="24"/>
          <w:szCs w:val="24"/>
        </w:rPr>
        <w:t>Robert A. Winn, MD</w:t>
      </w:r>
    </w:p>
    <w:p w14:paraId="5CC53379" w14:textId="7AFB824C" w:rsidR="00EE7BE8" w:rsidRDefault="00EE7BE8">
      <w:pPr>
        <w:rPr>
          <w:sz w:val="24"/>
          <w:szCs w:val="24"/>
        </w:rPr>
      </w:pPr>
      <w:r w:rsidRPr="00EE7BE8">
        <w:rPr>
          <w:b/>
          <w:sz w:val="24"/>
          <w:szCs w:val="24"/>
        </w:rPr>
        <w:t>Background</w:t>
      </w:r>
      <w:r>
        <w:rPr>
          <w:sz w:val="24"/>
          <w:szCs w:val="24"/>
        </w:rPr>
        <w:t xml:space="preserve">: </w:t>
      </w:r>
      <w:r>
        <w:rPr>
          <w:rFonts w:cs="Arial"/>
          <w:sz w:val="24"/>
          <w:szCs w:val="24"/>
        </w:rPr>
        <w:t xml:space="preserve">Lung cancer is </w:t>
      </w:r>
      <w:r w:rsidR="00107F6B" w:rsidRPr="00650F56">
        <w:rPr>
          <w:sz w:val="24"/>
          <w:szCs w:val="24"/>
        </w:rPr>
        <w:t xml:space="preserve">the </w:t>
      </w:r>
      <w:r w:rsidR="007A04D6">
        <w:rPr>
          <w:sz w:val="24"/>
          <w:szCs w:val="24"/>
        </w:rPr>
        <w:t xml:space="preserve">most common and </w:t>
      </w:r>
      <w:r w:rsidR="00107F6B" w:rsidRPr="00650F56">
        <w:rPr>
          <w:sz w:val="24"/>
          <w:szCs w:val="24"/>
        </w:rPr>
        <w:t xml:space="preserve">deadliest </w:t>
      </w:r>
      <w:r w:rsidR="007A04D6">
        <w:rPr>
          <w:sz w:val="24"/>
          <w:szCs w:val="24"/>
        </w:rPr>
        <w:t>malignancy</w:t>
      </w:r>
      <w:r>
        <w:rPr>
          <w:sz w:val="24"/>
          <w:szCs w:val="24"/>
        </w:rPr>
        <w:t xml:space="preserve"> in </w:t>
      </w:r>
      <w:r w:rsidR="006E73B4">
        <w:rPr>
          <w:sz w:val="24"/>
          <w:szCs w:val="24"/>
        </w:rPr>
        <w:t>Cuba</w:t>
      </w:r>
      <w:r w:rsidR="00107F6B" w:rsidRPr="00650F56">
        <w:rPr>
          <w:sz w:val="24"/>
          <w:szCs w:val="24"/>
        </w:rPr>
        <w:t xml:space="preserve">. </w:t>
      </w:r>
      <w:r w:rsidR="008923E4">
        <w:rPr>
          <w:sz w:val="24"/>
          <w:szCs w:val="24"/>
        </w:rPr>
        <w:t xml:space="preserve">With an aging Cuban population, and the economic importance the tobacco industry, incidence for this and other cancers is expected to increase, further straining limited health care resources. Adequate allocation of resources for lung cancer prevention, and early diagnosis requires </w:t>
      </w:r>
      <w:r w:rsidR="00C45B30">
        <w:rPr>
          <w:sz w:val="24"/>
          <w:szCs w:val="24"/>
        </w:rPr>
        <w:t xml:space="preserve">compels a closer epidemiological look to identify potential areas of intervention. </w:t>
      </w:r>
    </w:p>
    <w:p w14:paraId="01F1615C" w14:textId="6507697E" w:rsidR="00EE7BE8" w:rsidRDefault="00EE7BE8" w:rsidP="00EE7BE8">
      <w:pPr>
        <w:rPr>
          <w:sz w:val="24"/>
          <w:szCs w:val="24"/>
        </w:rPr>
      </w:pPr>
      <w:r w:rsidRPr="00650F56">
        <w:rPr>
          <w:rFonts w:cs="Arial"/>
          <w:b/>
          <w:sz w:val="24"/>
          <w:szCs w:val="24"/>
        </w:rPr>
        <w:t>Objective</w:t>
      </w:r>
      <w:r w:rsidRPr="00650F56">
        <w:rPr>
          <w:rFonts w:cs="Arial"/>
          <w:sz w:val="24"/>
          <w:szCs w:val="24"/>
        </w:rPr>
        <w:t xml:space="preserve">: </w:t>
      </w:r>
      <w:r>
        <w:rPr>
          <w:rFonts w:cs="Arial"/>
          <w:sz w:val="24"/>
          <w:szCs w:val="24"/>
        </w:rPr>
        <w:t xml:space="preserve">We </w:t>
      </w:r>
      <w:r w:rsidRPr="00650F56">
        <w:rPr>
          <w:rFonts w:cs="Arial"/>
          <w:sz w:val="24"/>
          <w:szCs w:val="24"/>
        </w:rPr>
        <w:t>describe</w:t>
      </w:r>
      <w:r>
        <w:rPr>
          <w:rFonts w:cs="Arial"/>
          <w:sz w:val="24"/>
          <w:szCs w:val="24"/>
        </w:rPr>
        <w:t>d the lung cancer incidence and mortality patterns in Cuba, overall, and by sex, age, and province, from 199</w:t>
      </w:r>
      <w:r w:rsidR="00C45B30">
        <w:rPr>
          <w:rFonts w:cs="Arial"/>
          <w:sz w:val="24"/>
          <w:szCs w:val="24"/>
        </w:rPr>
        <w:t>5</w:t>
      </w:r>
      <w:r>
        <w:rPr>
          <w:rFonts w:cs="Arial"/>
          <w:sz w:val="24"/>
          <w:szCs w:val="24"/>
        </w:rPr>
        <w:t xml:space="preserve"> through 2012. We discuss preventive and early </w:t>
      </w:r>
      <w:r w:rsidR="00C45B30">
        <w:rPr>
          <w:rFonts w:cs="Arial"/>
          <w:sz w:val="24"/>
          <w:szCs w:val="24"/>
        </w:rPr>
        <w:t>detection strategies within the context of existing data.</w:t>
      </w:r>
    </w:p>
    <w:p w14:paraId="67374DA2" w14:textId="7A7E7A65" w:rsidR="00F313AC" w:rsidRDefault="00107F6B" w:rsidP="00F313AC">
      <w:pPr>
        <w:rPr>
          <w:sz w:val="24"/>
          <w:szCs w:val="24"/>
        </w:rPr>
      </w:pPr>
      <w:r w:rsidRPr="00650F56">
        <w:rPr>
          <w:rFonts w:cs="Arial"/>
          <w:b/>
          <w:sz w:val="24"/>
          <w:szCs w:val="24"/>
        </w:rPr>
        <w:t>Methods</w:t>
      </w:r>
      <w:r w:rsidRPr="00650F56">
        <w:rPr>
          <w:rFonts w:cs="Arial"/>
          <w:sz w:val="24"/>
          <w:szCs w:val="24"/>
        </w:rPr>
        <w:t xml:space="preserve">: </w:t>
      </w:r>
      <w:r w:rsidR="00F313AC">
        <w:rPr>
          <w:rFonts w:cs="Arial"/>
          <w:sz w:val="24"/>
          <w:szCs w:val="24"/>
        </w:rPr>
        <w:t xml:space="preserve">We used </w:t>
      </w:r>
      <w:r w:rsidR="00F313AC">
        <w:rPr>
          <w:sz w:val="24"/>
          <w:szCs w:val="24"/>
        </w:rPr>
        <w:t>Cuba’s National Cancer Registry and National Medical and Statistical Registry to estimate crude and a</w:t>
      </w:r>
      <w:r w:rsidR="00F313AC">
        <w:rPr>
          <w:rFonts w:cs="Arial"/>
          <w:sz w:val="24"/>
          <w:szCs w:val="24"/>
        </w:rPr>
        <w:t xml:space="preserve">ge-adjusted, lung cancer incidence and mortality rates, standardized to the world population. </w:t>
      </w:r>
      <w:r w:rsidR="00466E56">
        <w:rPr>
          <w:rFonts w:cs="Arial"/>
          <w:sz w:val="24"/>
          <w:szCs w:val="24"/>
        </w:rPr>
        <w:t>We conducted a time-series analysis using Jointpoint to describe lung cancer mortality trends in Cuba from 1995 to 2014.</w:t>
      </w:r>
      <w:r w:rsidR="00B81135">
        <w:rPr>
          <w:rFonts w:cs="Arial"/>
          <w:sz w:val="24"/>
          <w:szCs w:val="24"/>
        </w:rPr>
        <w:t xml:space="preserve"> We also estimated the crude and adjusted years of potential life lost (YPLL) by sex, age group, and province, and plot the trend across time for this variable (YPLL).</w:t>
      </w:r>
    </w:p>
    <w:p w14:paraId="464A5BC7" w14:textId="64A42657" w:rsidR="00107F6B" w:rsidRPr="00B81135" w:rsidRDefault="00650F56" w:rsidP="00E8196E">
      <w:pPr>
        <w:jc w:val="both"/>
        <w:rPr>
          <w:rFonts w:cs="Arial"/>
          <w:b/>
          <w:sz w:val="24"/>
          <w:szCs w:val="24"/>
        </w:rPr>
      </w:pPr>
      <w:r w:rsidRPr="00650F56">
        <w:rPr>
          <w:rFonts w:cs="Arial"/>
          <w:b/>
          <w:sz w:val="24"/>
          <w:szCs w:val="24"/>
        </w:rPr>
        <w:t xml:space="preserve">Results: </w:t>
      </w:r>
      <w:r w:rsidR="00C35033">
        <w:rPr>
          <w:rFonts w:cs="Arial"/>
          <w:sz w:val="24"/>
          <w:szCs w:val="24"/>
        </w:rPr>
        <w:t>Lung cancer incidence showed a slight decrease over time for males, but increased for females during the same time period</w:t>
      </w:r>
      <w:r w:rsidR="003D595A">
        <w:rPr>
          <w:rFonts w:cs="Arial"/>
          <w:sz w:val="24"/>
          <w:szCs w:val="24"/>
        </w:rPr>
        <w:t xml:space="preserve">: </w:t>
      </w:r>
      <w:r w:rsidR="00952783">
        <w:rPr>
          <w:rFonts w:cs="Arial"/>
          <w:sz w:val="24"/>
          <w:szCs w:val="24"/>
        </w:rPr>
        <w:t xml:space="preserve">incidence rates for males and </w:t>
      </w:r>
      <w:r w:rsidR="008923E4">
        <w:rPr>
          <w:rFonts w:cs="Arial"/>
          <w:sz w:val="24"/>
          <w:szCs w:val="24"/>
        </w:rPr>
        <w:t>females</w:t>
      </w:r>
      <w:r w:rsidR="00952783">
        <w:rPr>
          <w:rFonts w:cs="Arial"/>
          <w:sz w:val="24"/>
          <w:szCs w:val="24"/>
        </w:rPr>
        <w:t xml:space="preserve"> were respectively 4</w:t>
      </w:r>
      <w:r w:rsidR="003D595A">
        <w:rPr>
          <w:rFonts w:cs="Arial"/>
          <w:sz w:val="24"/>
          <w:szCs w:val="24"/>
        </w:rPr>
        <w:t>2</w:t>
      </w:r>
      <w:r w:rsidR="00952783">
        <w:rPr>
          <w:rFonts w:cs="Arial"/>
          <w:sz w:val="24"/>
          <w:szCs w:val="24"/>
        </w:rPr>
        <w:t xml:space="preserve"> and </w:t>
      </w:r>
      <w:r w:rsidR="003D595A">
        <w:rPr>
          <w:rFonts w:cs="Arial"/>
          <w:sz w:val="24"/>
          <w:szCs w:val="24"/>
        </w:rPr>
        <w:t>16</w:t>
      </w:r>
      <w:r w:rsidR="00952783">
        <w:rPr>
          <w:rFonts w:cs="Arial"/>
          <w:sz w:val="24"/>
          <w:szCs w:val="24"/>
        </w:rPr>
        <w:t xml:space="preserve"> per 100,000 </w:t>
      </w:r>
      <w:r w:rsidR="002253DC">
        <w:rPr>
          <w:rFonts w:cs="Arial"/>
          <w:sz w:val="24"/>
          <w:szCs w:val="24"/>
        </w:rPr>
        <w:t xml:space="preserve">in 1990 </w:t>
      </w:r>
      <w:r w:rsidR="00952783">
        <w:rPr>
          <w:rFonts w:cs="Arial"/>
          <w:sz w:val="24"/>
          <w:szCs w:val="24"/>
        </w:rPr>
        <w:t xml:space="preserve">and </w:t>
      </w:r>
      <w:r w:rsidR="003D595A">
        <w:rPr>
          <w:rFonts w:cs="Arial"/>
          <w:sz w:val="24"/>
          <w:szCs w:val="24"/>
        </w:rPr>
        <w:t>40</w:t>
      </w:r>
      <w:r w:rsidR="00952783">
        <w:rPr>
          <w:rFonts w:cs="Arial"/>
          <w:sz w:val="24"/>
          <w:szCs w:val="24"/>
        </w:rPr>
        <w:t xml:space="preserve"> and </w:t>
      </w:r>
      <w:r w:rsidR="003D595A">
        <w:rPr>
          <w:rFonts w:cs="Arial"/>
          <w:sz w:val="24"/>
          <w:szCs w:val="24"/>
        </w:rPr>
        <w:t>21</w:t>
      </w:r>
      <w:r w:rsidR="00952783">
        <w:rPr>
          <w:rFonts w:cs="Arial"/>
          <w:sz w:val="24"/>
          <w:szCs w:val="24"/>
        </w:rPr>
        <w:t xml:space="preserve"> per 100,000 in 2012.</w:t>
      </w:r>
      <w:r w:rsidR="00C35033">
        <w:rPr>
          <w:rFonts w:cs="Arial"/>
          <w:sz w:val="24"/>
          <w:szCs w:val="24"/>
        </w:rPr>
        <w:t xml:space="preserve"> </w:t>
      </w:r>
      <w:r w:rsidR="00DC225F">
        <w:rPr>
          <w:rFonts w:cs="Arial"/>
          <w:sz w:val="24"/>
          <w:szCs w:val="24"/>
        </w:rPr>
        <w:t xml:space="preserve">The provinces of </w:t>
      </w:r>
      <w:r w:rsidR="00DC225F" w:rsidRPr="00DE6490">
        <w:rPr>
          <w:rFonts w:cs="Arial"/>
          <w:sz w:val="24"/>
          <w:szCs w:val="24"/>
        </w:rPr>
        <w:t xml:space="preserve">Habana, </w:t>
      </w:r>
      <w:r w:rsidR="00DC225F">
        <w:rPr>
          <w:rFonts w:cs="Arial"/>
          <w:sz w:val="24"/>
          <w:szCs w:val="24"/>
        </w:rPr>
        <w:t xml:space="preserve">Artemisa, Matanzas, and Camaguey recorded the </w:t>
      </w:r>
      <w:r w:rsidR="00DC225F" w:rsidRPr="00DE6490">
        <w:rPr>
          <w:rFonts w:cs="Arial"/>
          <w:sz w:val="24"/>
          <w:szCs w:val="24"/>
        </w:rPr>
        <w:t>highest LC incidences</w:t>
      </w:r>
      <w:r w:rsidR="00DC225F">
        <w:rPr>
          <w:rFonts w:cs="Arial"/>
          <w:sz w:val="24"/>
          <w:szCs w:val="24"/>
        </w:rPr>
        <w:t xml:space="preserve">. Most LC were classified as non-small cell carcinomas (74%) and diagnosed at later stages (70% were stage III or IV). </w:t>
      </w:r>
      <w:r w:rsidR="005E7015">
        <w:rPr>
          <w:rFonts w:cs="Arial"/>
          <w:sz w:val="24"/>
          <w:szCs w:val="24"/>
        </w:rPr>
        <w:t>During the same time period</w:t>
      </w:r>
      <w:r w:rsidR="002253DC">
        <w:rPr>
          <w:rFonts w:cs="Arial"/>
          <w:sz w:val="24"/>
          <w:szCs w:val="24"/>
        </w:rPr>
        <w:t xml:space="preserve"> (1990-2012)</w:t>
      </w:r>
      <w:r w:rsidR="005E7015">
        <w:rPr>
          <w:rFonts w:cs="Arial"/>
          <w:sz w:val="24"/>
          <w:szCs w:val="24"/>
        </w:rPr>
        <w:t>, LC</w:t>
      </w:r>
      <w:r w:rsidR="00C35033">
        <w:rPr>
          <w:rFonts w:cs="Arial"/>
          <w:sz w:val="24"/>
          <w:szCs w:val="24"/>
        </w:rPr>
        <w:t xml:space="preserve"> mortality </w:t>
      </w:r>
      <w:r w:rsidR="00F16420">
        <w:rPr>
          <w:rFonts w:cs="Arial"/>
          <w:sz w:val="24"/>
          <w:szCs w:val="24"/>
        </w:rPr>
        <w:t xml:space="preserve">slightly increased </w:t>
      </w:r>
      <w:r w:rsidR="00F77889">
        <w:rPr>
          <w:rFonts w:cs="Arial"/>
          <w:sz w:val="24"/>
          <w:szCs w:val="24"/>
        </w:rPr>
        <w:t>from 27 to 31 per 100,000 persons</w:t>
      </w:r>
      <w:r w:rsidR="002253DC">
        <w:rPr>
          <w:rFonts w:cs="Arial"/>
          <w:sz w:val="24"/>
          <w:szCs w:val="24"/>
        </w:rPr>
        <w:t xml:space="preserve">, an increase disproportionately impacting women, as demonstrated by an </w:t>
      </w:r>
      <w:r w:rsidR="00F77889">
        <w:rPr>
          <w:rFonts w:cs="Arial"/>
          <w:sz w:val="24"/>
          <w:szCs w:val="24"/>
        </w:rPr>
        <w:t>increas</w:t>
      </w:r>
      <w:r w:rsidR="002253DC">
        <w:rPr>
          <w:rFonts w:cs="Arial"/>
          <w:sz w:val="24"/>
          <w:szCs w:val="24"/>
        </w:rPr>
        <w:t>e</w:t>
      </w:r>
      <w:r w:rsidR="00F77889">
        <w:rPr>
          <w:rFonts w:cs="Arial"/>
          <w:sz w:val="24"/>
          <w:szCs w:val="24"/>
        </w:rPr>
        <w:t xml:space="preserve"> in the proportion </w:t>
      </w:r>
      <w:r w:rsidR="002253DC">
        <w:rPr>
          <w:rFonts w:cs="Arial"/>
          <w:sz w:val="24"/>
          <w:szCs w:val="24"/>
        </w:rPr>
        <w:t xml:space="preserve">of all </w:t>
      </w:r>
      <w:r w:rsidR="003D595A">
        <w:rPr>
          <w:rFonts w:cs="Arial"/>
          <w:sz w:val="24"/>
          <w:szCs w:val="24"/>
        </w:rPr>
        <w:t xml:space="preserve">cancer deaths </w:t>
      </w:r>
      <w:r w:rsidR="0075576F">
        <w:rPr>
          <w:rFonts w:cs="Arial"/>
          <w:sz w:val="24"/>
          <w:szCs w:val="24"/>
        </w:rPr>
        <w:t>attributable to</w:t>
      </w:r>
      <w:r w:rsidR="00F77889">
        <w:rPr>
          <w:rFonts w:cs="Arial"/>
          <w:sz w:val="24"/>
          <w:szCs w:val="24"/>
        </w:rPr>
        <w:t xml:space="preserve"> lung cancer</w:t>
      </w:r>
      <w:r w:rsidR="0075576F">
        <w:rPr>
          <w:rFonts w:cs="Arial"/>
          <w:sz w:val="24"/>
          <w:szCs w:val="24"/>
        </w:rPr>
        <w:t xml:space="preserve">, </w:t>
      </w:r>
      <w:r w:rsidR="00F77889">
        <w:rPr>
          <w:rFonts w:cs="Arial"/>
          <w:sz w:val="24"/>
          <w:szCs w:val="24"/>
        </w:rPr>
        <w:t xml:space="preserve">from 14% in 1995 to </w:t>
      </w:r>
      <w:r w:rsidR="002253DC">
        <w:rPr>
          <w:rFonts w:cs="Arial"/>
          <w:sz w:val="24"/>
          <w:szCs w:val="24"/>
        </w:rPr>
        <w:t>19</w:t>
      </w:r>
      <w:r w:rsidR="00F77889">
        <w:rPr>
          <w:rFonts w:cs="Arial"/>
          <w:sz w:val="24"/>
          <w:szCs w:val="24"/>
        </w:rPr>
        <w:t>% i</w:t>
      </w:r>
      <w:r w:rsidR="00F16420">
        <w:rPr>
          <w:rFonts w:cs="Arial"/>
          <w:sz w:val="24"/>
          <w:szCs w:val="24"/>
        </w:rPr>
        <w:t>n 201</w:t>
      </w:r>
      <w:r w:rsidR="002253DC">
        <w:rPr>
          <w:rFonts w:cs="Arial"/>
          <w:sz w:val="24"/>
          <w:szCs w:val="24"/>
        </w:rPr>
        <w:t>2,</w:t>
      </w:r>
      <w:r w:rsidR="002253DC" w:rsidRPr="002253DC">
        <w:rPr>
          <w:rFonts w:cs="Arial"/>
          <w:sz w:val="24"/>
          <w:szCs w:val="24"/>
        </w:rPr>
        <w:t xml:space="preserve"> </w:t>
      </w:r>
      <w:r w:rsidR="002253DC">
        <w:rPr>
          <w:rFonts w:cs="Arial"/>
          <w:sz w:val="24"/>
          <w:szCs w:val="24"/>
        </w:rPr>
        <w:t>among women</w:t>
      </w:r>
      <w:r w:rsidR="005E7015">
        <w:rPr>
          <w:rFonts w:cs="Arial"/>
          <w:sz w:val="24"/>
          <w:szCs w:val="24"/>
        </w:rPr>
        <w:t>.</w:t>
      </w:r>
      <w:r w:rsidR="00C35033">
        <w:rPr>
          <w:rFonts w:cs="Arial"/>
          <w:sz w:val="24"/>
          <w:szCs w:val="24"/>
        </w:rPr>
        <w:t xml:space="preserve"> </w:t>
      </w:r>
      <w:r w:rsidR="0075576F">
        <w:rPr>
          <w:rFonts w:cs="Arial"/>
          <w:sz w:val="24"/>
          <w:szCs w:val="24"/>
        </w:rPr>
        <w:t xml:space="preserve">Nearly 50% of deaths among people ages 30-69 were attributed to LC, with women more likely to die of LC at these younger ages. </w:t>
      </w:r>
    </w:p>
    <w:p w14:paraId="54F695A1" w14:textId="36435720" w:rsidR="00F313AC" w:rsidRPr="00650F56" w:rsidRDefault="006E5EFB" w:rsidP="002171FF">
      <w:pPr>
        <w:jc w:val="both"/>
        <w:rPr>
          <w:sz w:val="24"/>
          <w:szCs w:val="24"/>
        </w:rPr>
      </w:pPr>
      <w:r w:rsidRPr="006E5EFB">
        <w:rPr>
          <w:rFonts w:cs="Arial"/>
          <w:b/>
          <w:sz w:val="24"/>
          <w:szCs w:val="24"/>
        </w:rPr>
        <w:t>Conclusions</w:t>
      </w:r>
      <w:r>
        <w:rPr>
          <w:rFonts w:cs="Arial"/>
          <w:sz w:val="24"/>
          <w:szCs w:val="24"/>
        </w:rPr>
        <w:t xml:space="preserve">: LC incidence and mortality are increasing in Cuba, particularly among </w:t>
      </w:r>
      <w:r w:rsidR="00B61DB8">
        <w:rPr>
          <w:rFonts w:cs="Arial"/>
          <w:sz w:val="24"/>
          <w:szCs w:val="24"/>
        </w:rPr>
        <w:t xml:space="preserve">younger </w:t>
      </w:r>
      <w:r>
        <w:rPr>
          <w:rFonts w:cs="Arial"/>
          <w:sz w:val="24"/>
          <w:szCs w:val="24"/>
        </w:rPr>
        <w:t xml:space="preserve">women. </w:t>
      </w:r>
      <w:r w:rsidR="002171FF">
        <w:rPr>
          <w:rFonts w:cs="Arial"/>
          <w:sz w:val="24"/>
          <w:szCs w:val="24"/>
        </w:rPr>
        <w:t xml:space="preserve">The fact that the provinces of highest LC incidence are geographically located in areas </w:t>
      </w:r>
      <w:r w:rsidR="002171FF" w:rsidRPr="00DE6490">
        <w:rPr>
          <w:rFonts w:cs="Arial"/>
          <w:sz w:val="24"/>
          <w:szCs w:val="24"/>
        </w:rPr>
        <w:t>known for tobacco production</w:t>
      </w:r>
      <w:r w:rsidR="002171FF">
        <w:rPr>
          <w:rFonts w:cs="Arial"/>
          <w:sz w:val="24"/>
          <w:szCs w:val="24"/>
        </w:rPr>
        <w:t xml:space="preserve"> (</w:t>
      </w:r>
      <w:r w:rsidR="002171FF" w:rsidRPr="00DE6490">
        <w:rPr>
          <w:rFonts w:cs="Arial"/>
          <w:sz w:val="24"/>
          <w:szCs w:val="24"/>
        </w:rPr>
        <w:t>Partidos, Remedios and Oriente</w:t>
      </w:r>
      <w:r w:rsidR="002171FF">
        <w:rPr>
          <w:rFonts w:cs="Arial"/>
          <w:sz w:val="24"/>
          <w:szCs w:val="24"/>
        </w:rPr>
        <w:t>) suggests further research into risk behavior distribution and may inform implementation strategies for cancer control initiatives.</w:t>
      </w:r>
      <w:r w:rsidR="005E7015" w:rsidRPr="00DE6490">
        <w:rPr>
          <w:rFonts w:cs="Arial"/>
          <w:sz w:val="24"/>
          <w:szCs w:val="24"/>
        </w:rPr>
        <w:t xml:space="preserve"> </w:t>
      </w:r>
    </w:p>
    <w:sectPr w:rsidR="00F313AC" w:rsidRPr="00650F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385E54"/>
    <w:multiLevelType w:val="hybridMultilevel"/>
    <w:tmpl w:val="4C723AA6"/>
    <w:lvl w:ilvl="0" w:tplc="040A000F">
      <w:start w:val="1"/>
      <w:numFmt w:val="decimal"/>
      <w:lvlText w:val="%1."/>
      <w:lvlJc w:val="left"/>
      <w:pPr>
        <w:ind w:left="720" w:hanging="360"/>
      </w:pPr>
      <w:rPr>
        <w:rFonts w:hint="default"/>
      </w:rPr>
    </w:lvl>
    <w:lvl w:ilvl="1" w:tplc="040A0019">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7F6B"/>
    <w:rsid w:val="000A12BF"/>
    <w:rsid w:val="000F704C"/>
    <w:rsid w:val="00107F6B"/>
    <w:rsid w:val="00125486"/>
    <w:rsid w:val="00186A06"/>
    <w:rsid w:val="001933F3"/>
    <w:rsid w:val="002171FF"/>
    <w:rsid w:val="00222CD8"/>
    <w:rsid w:val="002253DC"/>
    <w:rsid w:val="00242922"/>
    <w:rsid w:val="00257884"/>
    <w:rsid w:val="0029687B"/>
    <w:rsid w:val="00331E7B"/>
    <w:rsid w:val="003436F6"/>
    <w:rsid w:val="003510AA"/>
    <w:rsid w:val="003D595A"/>
    <w:rsid w:val="00416420"/>
    <w:rsid w:val="00466E56"/>
    <w:rsid w:val="00532929"/>
    <w:rsid w:val="00543F0E"/>
    <w:rsid w:val="00556755"/>
    <w:rsid w:val="005E7015"/>
    <w:rsid w:val="00643A81"/>
    <w:rsid w:val="00650F56"/>
    <w:rsid w:val="006E5EFB"/>
    <w:rsid w:val="006E73B4"/>
    <w:rsid w:val="0075576F"/>
    <w:rsid w:val="007A04D6"/>
    <w:rsid w:val="008923E4"/>
    <w:rsid w:val="00952783"/>
    <w:rsid w:val="009B4BAE"/>
    <w:rsid w:val="00B61DB8"/>
    <w:rsid w:val="00B81135"/>
    <w:rsid w:val="00B83C21"/>
    <w:rsid w:val="00C33F63"/>
    <w:rsid w:val="00C35033"/>
    <w:rsid w:val="00C45B30"/>
    <w:rsid w:val="00D87EEB"/>
    <w:rsid w:val="00DC225F"/>
    <w:rsid w:val="00DE6490"/>
    <w:rsid w:val="00E8196E"/>
    <w:rsid w:val="00EC54CD"/>
    <w:rsid w:val="00ED4EF8"/>
    <w:rsid w:val="00EE7BE8"/>
    <w:rsid w:val="00F16420"/>
    <w:rsid w:val="00F313AC"/>
    <w:rsid w:val="00F55962"/>
    <w:rsid w:val="00F77889"/>
    <w:rsid w:val="00FF00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30B3FC"/>
  <w15:docId w15:val="{A75935EC-B943-4725-9989-BE1D6D6EA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107F6B"/>
    <w:pPr>
      <w:spacing w:after="0" w:line="240" w:lineRule="auto"/>
    </w:pPr>
    <w:rPr>
      <w:rFonts w:ascii="Courier New" w:eastAsia="Times New Roman" w:hAnsi="Courier New" w:cs="Times New Roman"/>
      <w:sz w:val="20"/>
      <w:szCs w:val="20"/>
      <w:lang w:val="es-ES"/>
    </w:rPr>
  </w:style>
  <w:style w:type="character" w:customStyle="1" w:styleId="PlainTextChar">
    <w:name w:val="Plain Text Char"/>
    <w:basedOn w:val="DefaultParagraphFont"/>
    <w:link w:val="PlainText"/>
    <w:rsid w:val="00107F6B"/>
    <w:rPr>
      <w:rFonts w:ascii="Courier New" w:eastAsia="Times New Roman" w:hAnsi="Courier New" w:cs="Times New Roman"/>
      <w:sz w:val="20"/>
      <w:szCs w:val="20"/>
      <w:lang w:val="es-ES"/>
    </w:rPr>
  </w:style>
  <w:style w:type="paragraph" w:styleId="BalloonText">
    <w:name w:val="Balloon Text"/>
    <w:basedOn w:val="Normal"/>
    <w:link w:val="BalloonTextChar"/>
    <w:uiPriority w:val="99"/>
    <w:semiHidden/>
    <w:unhideWhenUsed/>
    <w:rsid w:val="006E73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73B4"/>
    <w:rPr>
      <w:rFonts w:ascii="Tahoma" w:hAnsi="Tahoma" w:cs="Tahoma"/>
      <w:sz w:val="16"/>
      <w:szCs w:val="16"/>
    </w:rPr>
  </w:style>
  <w:style w:type="character" w:styleId="CommentReference">
    <w:name w:val="annotation reference"/>
    <w:basedOn w:val="DefaultParagraphFont"/>
    <w:uiPriority w:val="99"/>
    <w:semiHidden/>
    <w:unhideWhenUsed/>
    <w:rsid w:val="006E73B4"/>
    <w:rPr>
      <w:sz w:val="16"/>
      <w:szCs w:val="16"/>
    </w:rPr>
  </w:style>
  <w:style w:type="paragraph" w:styleId="CommentText">
    <w:name w:val="annotation text"/>
    <w:basedOn w:val="Normal"/>
    <w:link w:val="CommentTextChar"/>
    <w:uiPriority w:val="99"/>
    <w:semiHidden/>
    <w:unhideWhenUsed/>
    <w:rsid w:val="006E73B4"/>
    <w:pPr>
      <w:spacing w:line="240" w:lineRule="auto"/>
    </w:pPr>
    <w:rPr>
      <w:sz w:val="20"/>
      <w:szCs w:val="20"/>
    </w:rPr>
  </w:style>
  <w:style w:type="character" w:customStyle="1" w:styleId="CommentTextChar">
    <w:name w:val="Comment Text Char"/>
    <w:basedOn w:val="DefaultParagraphFont"/>
    <w:link w:val="CommentText"/>
    <w:uiPriority w:val="99"/>
    <w:semiHidden/>
    <w:rsid w:val="006E73B4"/>
    <w:rPr>
      <w:sz w:val="20"/>
      <w:szCs w:val="20"/>
    </w:rPr>
  </w:style>
  <w:style w:type="paragraph" w:styleId="CommentSubject">
    <w:name w:val="annotation subject"/>
    <w:basedOn w:val="CommentText"/>
    <w:next w:val="CommentText"/>
    <w:link w:val="CommentSubjectChar"/>
    <w:uiPriority w:val="99"/>
    <w:semiHidden/>
    <w:unhideWhenUsed/>
    <w:rsid w:val="006E73B4"/>
    <w:rPr>
      <w:b/>
      <w:bCs/>
    </w:rPr>
  </w:style>
  <w:style w:type="character" w:customStyle="1" w:styleId="CommentSubjectChar">
    <w:name w:val="Comment Subject Char"/>
    <w:basedOn w:val="CommentTextChar"/>
    <w:link w:val="CommentSubject"/>
    <w:uiPriority w:val="99"/>
    <w:semiHidden/>
    <w:rsid w:val="006E73B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3780592">
      <w:bodyDiv w:val="1"/>
      <w:marLeft w:val="0"/>
      <w:marRight w:val="0"/>
      <w:marTop w:val="0"/>
      <w:marBottom w:val="0"/>
      <w:divBdr>
        <w:top w:val="none" w:sz="0" w:space="0" w:color="auto"/>
        <w:left w:val="none" w:sz="0" w:space="0" w:color="auto"/>
        <w:bottom w:val="none" w:sz="0" w:space="0" w:color="auto"/>
        <w:right w:val="none" w:sz="0" w:space="0" w:color="auto"/>
      </w:divBdr>
      <w:divsChild>
        <w:div w:id="1006589374">
          <w:marLeft w:val="0"/>
          <w:marRight w:val="0"/>
          <w:marTop w:val="600"/>
          <w:marBottom w:val="120"/>
          <w:divBdr>
            <w:top w:val="none" w:sz="0" w:space="0" w:color="auto"/>
            <w:left w:val="none" w:sz="0" w:space="0" w:color="auto"/>
            <w:bottom w:val="none" w:sz="0" w:space="0" w:color="auto"/>
            <w:right w:val="none" w:sz="0" w:space="0" w:color="auto"/>
          </w:divBdr>
          <w:divsChild>
            <w:div w:id="858932867">
              <w:marLeft w:val="0"/>
              <w:marRight w:val="0"/>
              <w:marTop w:val="0"/>
              <w:marBottom w:val="0"/>
              <w:divBdr>
                <w:top w:val="none" w:sz="0" w:space="0" w:color="auto"/>
                <w:left w:val="none" w:sz="0" w:space="0" w:color="auto"/>
                <w:bottom w:val="none" w:sz="0" w:space="0" w:color="auto"/>
                <w:right w:val="none" w:sz="0" w:space="0" w:color="auto"/>
              </w:divBdr>
              <w:divsChild>
                <w:div w:id="800732446">
                  <w:marLeft w:val="0"/>
                  <w:marRight w:val="0"/>
                  <w:marTop w:val="0"/>
                  <w:marBottom w:val="0"/>
                  <w:divBdr>
                    <w:top w:val="none" w:sz="0" w:space="0" w:color="auto"/>
                    <w:left w:val="none" w:sz="0" w:space="0" w:color="auto"/>
                    <w:bottom w:val="none" w:sz="0" w:space="0" w:color="auto"/>
                    <w:right w:val="none" w:sz="0" w:space="0" w:color="auto"/>
                  </w:divBdr>
                </w:div>
                <w:div w:id="1610505526">
                  <w:marLeft w:val="0"/>
                  <w:marRight w:val="0"/>
                  <w:marTop w:val="0"/>
                  <w:marBottom w:val="0"/>
                  <w:divBdr>
                    <w:top w:val="none" w:sz="0" w:space="0" w:color="auto"/>
                    <w:left w:val="none" w:sz="0" w:space="0" w:color="auto"/>
                    <w:bottom w:val="none" w:sz="0" w:space="0" w:color="auto"/>
                    <w:right w:val="none" w:sz="0" w:space="0" w:color="auto"/>
                  </w:divBdr>
                </w:div>
                <w:div w:id="1909682002">
                  <w:marLeft w:val="0"/>
                  <w:marRight w:val="0"/>
                  <w:marTop w:val="0"/>
                  <w:marBottom w:val="0"/>
                  <w:divBdr>
                    <w:top w:val="none" w:sz="0" w:space="0" w:color="auto"/>
                    <w:left w:val="none" w:sz="0" w:space="0" w:color="auto"/>
                    <w:bottom w:val="none" w:sz="0" w:space="0" w:color="auto"/>
                    <w:right w:val="none" w:sz="0" w:space="0" w:color="auto"/>
                  </w:divBdr>
                </w:div>
                <w:div w:id="1286690381">
                  <w:marLeft w:val="0"/>
                  <w:marRight w:val="0"/>
                  <w:marTop w:val="0"/>
                  <w:marBottom w:val="0"/>
                  <w:divBdr>
                    <w:top w:val="none" w:sz="0" w:space="0" w:color="auto"/>
                    <w:left w:val="none" w:sz="0" w:space="0" w:color="auto"/>
                    <w:bottom w:val="none" w:sz="0" w:space="0" w:color="auto"/>
                    <w:right w:val="none" w:sz="0" w:space="0" w:color="auto"/>
                  </w:divBdr>
                </w:div>
                <w:div w:id="1743479364">
                  <w:marLeft w:val="0"/>
                  <w:marRight w:val="0"/>
                  <w:marTop w:val="0"/>
                  <w:marBottom w:val="0"/>
                  <w:divBdr>
                    <w:top w:val="none" w:sz="0" w:space="0" w:color="auto"/>
                    <w:left w:val="none" w:sz="0" w:space="0" w:color="auto"/>
                    <w:bottom w:val="none" w:sz="0" w:space="0" w:color="auto"/>
                    <w:right w:val="none" w:sz="0" w:space="0" w:color="auto"/>
                  </w:divBdr>
                </w:div>
                <w:div w:id="1969702842">
                  <w:marLeft w:val="0"/>
                  <w:marRight w:val="0"/>
                  <w:marTop w:val="0"/>
                  <w:marBottom w:val="0"/>
                  <w:divBdr>
                    <w:top w:val="none" w:sz="0" w:space="0" w:color="auto"/>
                    <w:left w:val="none" w:sz="0" w:space="0" w:color="auto"/>
                    <w:bottom w:val="none" w:sz="0" w:space="0" w:color="auto"/>
                    <w:right w:val="none" w:sz="0" w:space="0" w:color="auto"/>
                  </w:divBdr>
                </w:div>
                <w:div w:id="1450860723">
                  <w:marLeft w:val="0"/>
                  <w:marRight w:val="0"/>
                  <w:marTop w:val="0"/>
                  <w:marBottom w:val="0"/>
                  <w:divBdr>
                    <w:top w:val="none" w:sz="0" w:space="0" w:color="auto"/>
                    <w:left w:val="none" w:sz="0" w:space="0" w:color="auto"/>
                    <w:bottom w:val="none" w:sz="0" w:space="0" w:color="auto"/>
                    <w:right w:val="none" w:sz="0" w:space="0" w:color="auto"/>
                  </w:divBdr>
                </w:div>
                <w:div w:id="1692099136">
                  <w:marLeft w:val="0"/>
                  <w:marRight w:val="0"/>
                  <w:marTop w:val="0"/>
                  <w:marBottom w:val="0"/>
                  <w:divBdr>
                    <w:top w:val="none" w:sz="0" w:space="0" w:color="auto"/>
                    <w:left w:val="none" w:sz="0" w:space="0" w:color="auto"/>
                    <w:bottom w:val="none" w:sz="0" w:space="0" w:color="auto"/>
                    <w:right w:val="none" w:sz="0" w:space="0" w:color="auto"/>
                  </w:divBdr>
                </w:div>
                <w:div w:id="1325548738">
                  <w:marLeft w:val="0"/>
                  <w:marRight w:val="0"/>
                  <w:marTop w:val="0"/>
                  <w:marBottom w:val="0"/>
                  <w:divBdr>
                    <w:top w:val="none" w:sz="0" w:space="0" w:color="auto"/>
                    <w:left w:val="none" w:sz="0" w:space="0" w:color="auto"/>
                    <w:bottom w:val="none" w:sz="0" w:space="0" w:color="auto"/>
                    <w:right w:val="none" w:sz="0" w:space="0" w:color="auto"/>
                  </w:divBdr>
                </w:div>
                <w:div w:id="1384796700">
                  <w:marLeft w:val="0"/>
                  <w:marRight w:val="0"/>
                  <w:marTop w:val="0"/>
                  <w:marBottom w:val="0"/>
                  <w:divBdr>
                    <w:top w:val="none" w:sz="0" w:space="0" w:color="auto"/>
                    <w:left w:val="none" w:sz="0" w:space="0" w:color="auto"/>
                    <w:bottom w:val="none" w:sz="0" w:space="0" w:color="auto"/>
                    <w:right w:val="none" w:sz="0" w:space="0" w:color="auto"/>
                  </w:divBdr>
                </w:div>
                <w:div w:id="502742987">
                  <w:marLeft w:val="0"/>
                  <w:marRight w:val="0"/>
                  <w:marTop w:val="0"/>
                  <w:marBottom w:val="0"/>
                  <w:divBdr>
                    <w:top w:val="none" w:sz="0" w:space="0" w:color="auto"/>
                    <w:left w:val="none" w:sz="0" w:space="0" w:color="auto"/>
                    <w:bottom w:val="none" w:sz="0" w:space="0" w:color="auto"/>
                    <w:right w:val="none" w:sz="0" w:space="0" w:color="auto"/>
                  </w:divBdr>
                </w:div>
                <w:div w:id="1752192551">
                  <w:marLeft w:val="0"/>
                  <w:marRight w:val="0"/>
                  <w:marTop w:val="0"/>
                  <w:marBottom w:val="0"/>
                  <w:divBdr>
                    <w:top w:val="none" w:sz="0" w:space="0" w:color="auto"/>
                    <w:left w:val="none" w:sz="0" w:space="0" w:color="auto"/>
                    <w:bottom w:val="none" w:sz="0" w:space="0" w:color="auto"/>
                    <w:right w:val="none" w:sz="0" w:space="0" w:color="auto"/>
                  </w:divBdr>
                </w:div>
                <w:div w:id="1212494052">
                  <w:marLeft w:val="0"/>
                  <w:marRight w:val="0"/>
                  <w:marTop w:val="0"/>
                  <w:marBottom w:val="0"/>
                  <w:divBdr>
                    <w:top w:val="none" w:sz="0" w:space="0" w:color="auto"/>
                    <w:left w:val="none" w:sz="0" w:space="0" w:color="auto"/>
                    <w:bottom w:val="none" w:sz="0" w:space="0" w:color="auto"/>
                    <w:right w:val="none" w:sz="0" w:space="0" w:color="auto"/>
                  </w:divBdr>
                </w:div>
                <w:div w:id="575670222">
                  <w:marLeft w:val="0"/>
                  <w:marRight w:val="0"/>
                  <w:marTop w:val="0"/>
                  <w:marBottom w:val="0"/>
                  <w:divBdr>
                    <w:top w:val="none" w:sz="0" w:space="0" w:color="auto"/>
                    <w:left w:val="none" w:sz="0" w:space="0" w:color="auto"/>
                    <w:bottom w:val="none" w:sz="0" w:space="0" w:color="auto"/>
                    <w:right w:val="none" w:sz="0" w:space="0" w:color="auto"/>
                  </w:divBdr>
                </w:div>
                <w:div w:id="16008969">
                  <w:marLeft w:val="0"/>
                  <w:marRight w:val="0"/>
                  <w:marTop w:val="0"/>
                  <w:marBottom w:val="0"/>
                  <w:divBdr>
                    <w:top w:val="none" w:sz="0" w:space="0" w:color="auto"/>
                    <w:left w:val="none" w:sz="0" w:space="0" w:color="auto"/>
                    <w:bottom w:val="none" w:sz="0" w:space="0" w:color="auto"/>
                    <w:right w:val="none" w:sz="0" w:space="0" w:color="auto"/>
                  </w:divBdr>
                </w:div>
                <w:div w:id="1036541164">
                  <w:marLeft w:val="0"/>
                  <w:marRight w:val="0"/>
                  <w:marTop w:val="0"/>
                  <w:marBottom w:val="0"/>
                  <w:divBdr>
                    <w:top w:val="none" w:sz="0" w:space="0" w:color="auto"/>
                    <w:left w:val="none" w:sz="0" w:space="0" w:color="auto"/>
                    <w:bottom w:val="none" w:sz="0" w:space="0" w:color="auto"/>
                    <w:right w:val="none" w:sz="0" w:space="0" w:color="auto"/>
                  </w:divBdr>
                </w:div>
                <w:div w:id="2012904324">
                  <w:marLeft w:val="0"/>
                  <w:marRight w:val="0"/>
                  <w:marTop w:val="0"/>
                  <w:marBottom w:val="0"/>
                  <w:divBdr>
                    <w:top w:val="none" w:sz="0" w:space="0" w:color="auto"/>
                    <w:left w:val="none" w:sz="0" w:space="0" w:color="auto"/>
                    <w:bottom w:val="none" w:sz="0" w:space="0" w:color="auto"/>
                    <w:right w:val="none" w:sz="0" w:space="0" w:color="auto"/>
                  </w:divBdr>
                </w:div>
                <w:div w:id="349842383">
                  <w:marLeft w:val="0"/>
                  <w:marRight w:val="0"/>
                  <w:marTop w:val="0"/>
                  <w:marBottom w:val="0"/>
                  <w:divBdr>
                    <w:top w:val="none" w:sz="0" w:space="0" w:color="auto"/>
                    <w:left w:val="none" w:sz="0" w:space="0" w:color="auto"/>
                    <w:bottom w:val="none" w:sz="0" w:space="0" w:color="auto"/>
                    <w:right w:val="none" w:sz="0" w:space="0" w:color="auto"/>
                  </w:divBdr>
                </w:div>
                <w:div w:id="966274786">
                  <w:marLeft w:val="0"/>
                  <w:marRight w:val="0"/>
                  <w:marTop w:val="0"/>
                  <w:marBottom w:val="0"/>
                  <w:divBdr>
                    <w:top w:val="none" w:sz="0" w:space="0" w:color="auto"/>
                    <w:left w:val="none" w:sz="0" w:space="0" w:color="auto"/>
                    <w:bottom w:val="none" w:sz="0" w:space="0" w:color="auto"/>
                    <w:right w:val="none" w:sz="0" w:space="0" w:color="auto"/>
                  </w:divBdr>
                </w:div>
                <w:div w:id="737509133">
                  <w:marLeft w:val="0"/>
                  <w:marRight w:val="0"/>
                  <w:marTop w:val="0"/>
                  <w:marBottom w:val="0"/>
                  <w:divBdr>
                    <w:top w:val="none" w:sz="0" w:space="0" w:color="auto"/>
                    <w:left w:val="none" w:sz="0" w:space="0" w:color="auto"/>
                    <w:bottom w:val="none" w:sz="0" w:space="0" w:color="auto"/>
                    <w:right w:val="none" w:sz="0" w:space="0" w:color="auto"/>
                  </w:divBdr>
                </w:div>
                <w:div w:id="1283074697">
                  <w:marLeft w:val="0"/>
                  <w:marRight w:val="0"/>
                  <w:marTop w:val="0"/>
                  <w:marBottom w:val="0"/>
                  <w:divBdr>
                    <w:top w:val="none" w:sz="0" w:space="0" w:color="auto"/>
                    <w:left w:val="none" w:sz="0" w:space="0" w:color="auto"/>
                    <w:bottom w:val="none" w:sz="0" w:space="0" w:color="auto"/>
                    <w:right w:val="none" w:sz="0" w:space="0" w:color="auto"/>
                  </w:divBdr>
                </w:div>
                <w:div w:id="1393960821">
                  <w:marLeft w:val="0"/>
                  <w:marRight w:val="0"/>
                  <w:marTop w:val="0"/>
                  <w:marBottom w:val="0"/>
                  <w:divBdr>
                    <w:top w:val="none" w:sz="0" w:space="0" w:color="auto"/>
                    <w:left w:val="none" w:sz="0" w:space="0" w:color="auto"/>
                    <w:bottom w:val="none" w:sz="0" w:space="0" w:color="auto"/>
                    <w:right w:val="none" w:sz="0" w:space="0" w:color="auto"/>
                  </w:divBdr>
                </w:div>
                <w:div w:id="1068964033">
                  <w:marLeft w:val="0"/>
                  <w:marRight w:val="0"/>
                  <w:marTop w:val="0"/>
                  <w:marBottom w:val="0"/>
                  <w:divBdr>
                    <w:top w:val="none" w:sz="0" w:space="0" w:color="auto"/>
                    <w:left w:val="none" w:sz="0" w:space="0" w:color="auto"/>
                    <w:bottom w:val="none" w:sz="0" w:space="0" w:color="auto"/>
                    <w:right w:val="none" w:sz="0" w:space="0" w:color="auto"/>
                  </w:divBdr>
                </w:div>
                <w:div w:id="715083987">
                  <w:marLeft w:val="0"/>
                  <w:marRight w:val="0"/>
                  <w:marTop w:val="0"/>
                  <w:marBottom w:val="0"/>
                  <w:divBdr>
                    <w:top w:val="none" w:sz="0" w:space="0" w:color="auto"/>
                    <w:left w:val="none" w:sz="0" w:space="0" w:color="auto"/>
                    <w:bottom w:val="none" w:sz="0" w:space="0" w:color="auto"/>
                    <w:right w:val="none" w:sz="0" w:space="0" w:color="auto"/>
                  </w:divBdr>
                </w:div>
                <w:div w:id="1112286548">
                  <w:marLeft w:val="0"/>
                  <w:marRight w:val="0"/>
                  <w:marTop w:val="0"/>
                  <w:marBottom w:val="0"/>
                  <w:divBdr>
                    <w:top w:val="none" w:sz="0" w:space="0" w:color="auto"/>
                    <w:left w:val="none" w:sz="0" w:space="0" w:color="auto"/>
                    <w:bottom w:val="none" w:sz="0" w:space="0" w:color="auto"/>
                    <w:right w:val="none" w:sz="0" w:space="0" w:color="auto"/>
                  </w:divBdr>
                </w:div>
                <w:div w:id="235895604">
                  <w:marLeft w:val="0"/>
                  <w:marRight w:val="0"/>
                  <w:marTop w:val="0"/>
                  <w:marBottom w:val="0"/>
                  <w:divBdr>
                    <w:top w:val="none" w:sz="0" w:space="0" w:color="auto"/>
                    <w:left w:val="none" w:sz="0" w:space="0" w:color="auto"/>
                    <w:bottom w:val="none" w:sz="0" w:space="0" w:color="auto"/>
                    <w:right w:val="none" w:sz="0" w:space="0" w:color="auto"/>
                  </w:divBdr>
                </w:div>
                <w:div w:id="822166294">
                  <w:marLeft w:val="0"/>
                  <w:marRight w:val="0"/>
                  <w:marTop w:val="0"/>
                  <w:marBottom w:val="0"/>
                  <w:divBdr>
                    <w:top w:val="none" w:sz="0" w:space="0" w:color="auto"/>
                    <w:left w:val="none" w:sz="0" w:space="0" w:color="auto"/>
                    <w:bottom w:val="none" w:sz="0" w:space="0" w:color="auto"/>
                    <w:right w:val="none" w:sz="0" w:space="0" w:color="auto"/>
                  </w:divBdr>
                </w:div>
                <w:div w:id="762727100">
                  <w:marLeft w:val="0"/>
                  <w:marRight w:val="0"/>
                  <w:marTop w:val="0"/>
                  <w:marBottom w:val="0"/>
                  <w:divBdr>
                    <w:top w:val="none" w:sz="0" w:space="0" w:color="auto"/>
                    <w:left w:val="none" w:sz="0" w:space="0" w:color="auto"/>
                    <w:bottom w:val="none" w:sz="0" w:space="0" w:color="auto"/>
                    <w:right w:val="none" w:sz="0" w:space="0" w:color="auto"/>
                  </w:divBdr>
                </w:div>
                <w:div w:id="884561461">
                  <w:marLeft w:val="0"/>
                  <w:marRight w:val="0"/>
                  <w:marTop w:val="0"/>
                  <w:marBottom w:val="0"/>
                  <w:divBdr>
                    <w:top w:val="none" w:sz="0" w:space="0" w:color="auto"/>
                    <w:left w:val="none" w:sz="0" w:space="0" w:color="auto"/>
                    <w:bottom w:val="none" w:sz="0" w:space="0" w:color="auto"/>
                    <w:right w:val="none" w:sz="0" w:space="0" w:color="auto"/>
                  </w:divBdr>
                </w:div>
                <w:div w:id="1595431944">
                  <w:marLeft w:val="0"/>
                  <w:marRight w:val="0"/>
                  <w:marTop w:val="0"/>
                  <w:marBottom w:val="0"/>
                  <w:divBdr>
                    <w:top w:val="none" w:sz="0" w:space="0" w:color="auto"/>
                    <w:left w:val="none" w:sz="0" w:space="0" w:color="auto"/>
                    <w:bottom w:val="none" w:sz="0" w:space="0" w:color="auto"/>
                    <w:right w:val="none" w:sz="0" w:space="0" w:color="auto"/>
                  </w:divBdr>
                </w:div>
                <w:div w:id="1174611062">
                  <w:marLeft w:val="0"/>
                  <w:marRight w:val="0"/>
                  <w:marTop w:val="0"/>
                  <w:marBottom w:val="0"/>
                  <w:divBdr>
                    <w:top w:val="none" w:sz="0" w:space="0" w:color="auto"/>
                    <w:left w:val="none" w:sz="0" w:space="0" w:color="auto"/>
                    <w:bottom w:val="none" w:sz="0" w:space="0" w:color="auto"/>
                    <w:right w:val="none" w:sz="0" w:space="0" w:color="auto"/>
                  </w:divBdr>
                </w:div>
                <w:div w:id="1737973422">
                  <w:marLeft w:val="0"/>
                  <w:marRight w:val="0"/>
                  <w:marTop w:val="0"/>
                  <w:marBottom w:val="0"/>
                  <w:divBdr>
                    <w:top w:val="none" w:sz="0" w:space="0" w:color="auto"/>
                    <w:left w:val="none" w:sz="0" w:space="0" w:color="auto"/>
                    <w:bottom w:val="none" w:sz="0" w:space="0" w:color="auto"/>
                    <w:right w:val="none" w:sz="0" w:space="0" w:color="auto"/>
                  </w:divBdr>
                </w:div>
                <w:div w:id="1519273783">
                  <w:marLeft w:val="0"/>
                  <w:marRight w:val="0"/>
                  <w:marTop w:val="0"/>
                  <w:marBottom w:val="0"/>
                  <w:divBdr>
                    <w:top w:val="none" w:sz="0" w:space="0" w:color="auto"/>
                    <w:left w:val="none" w:sz="0" w:space="0" w:color="auto"/>
                    <w:bottom w:val="none" w:sz="0" w:space="0" w:color="auto"/>
                    <w:right w:val="none" w:sz="0" w:space="0" w:color="auto"/>
                  </w:divBdr>
                </w:div>
                <w:div w:id="690644467">
                  <w:marLeft w:val="0"/>
                  <w:marRight w:val="0"/>
                  <w:marTop w:val="0"/>
                  <w:marBottom w:val="0"/>
                  <w:divBdr>
                    <w:top w:val="none" w:sz="0" w:space="0" w:color="auto"/>
                    <w:left w:val="none" w:sz="0" w:space="0" w:color="auto"/>
                    <w:bottom w:val="none" w:sz="0" w:space="0" w:color="auto"/>
                    <w:right w:val="none" w:sz="0" w:space="0" w:color="auto"/>
                  </w:divBdr>
                </w:div>
                <w:div w:id="1285582197">
                  <w:marLeft w:val="0"/>
                  <w:marRight w:val="0"/>
                  <w:marTop w:val="0"/>
                  <w:marBottom w:val="0"/>
                  <w:divBdr>
                    <w:top w:val="none" w:sz="0" w:space="0" w:color="auto"/>
                    <w:left w:val="none" w:sz="0" w:space="0" w:color="auto"/>
                    <w:bottom w:val="none" w:sz="0" w:space="0" w:color="auto"/>
                    <w:right w:val="none" w:sz="0" w:space="0" w:color="auto"/>
                  </w:divBdr>
                </w:div>
                <w:div w:id="1527140546">
                  <w:marLeft w:val="0"/>
                  <w:marRight w:val="0"/>
                  <w:marTop w:val="0"/>
                  <w:marBottom w:val="0"/>
                  <w:divBdr>
                    <w:top w:val="none" w:sz="0" w:space="0" w:color="auto"/>
                    <w:left w:val="none" w:sz="0" w:space="0" w:color="auto"/>
                    <w:bottom w:val="none" w:sz="0" w:space="0" w:color="auto"/>
                    <w:right w:val="none" w:sz="0" w:space="0" w:color="auto"/>
                  </w:divBdr>
                </w:div>
                <w:div w:id="1400176800">
                  <w:marLeft w:val="0"/>
                  <w:marRight w:val="0"/>
                  <w:marTop w:val="0"/>
                  <w:marBottom w:val="0"/>
                  <w:divBdr>
                    <w:top w:val="none" w:sz="0" w:space="0" w:color="auto"/>
                    <w:left w:val="none" w:sz="0" w:space="0" w:color="auto"/>
                    <w:bottom w:val="none" w:sz="0" w:space="0" w:color="auto"/>
                    <w:right w:val="none" w:sz="0" w:space="0" w:color="auto"/>
                  </w:divBdr>
                </w:div>
                <w:div w:id="76945459">
                  <w:marLeft w:val="0"/>
                  <w:marRight w:val="0"/>
                  <w:marTop w:val="0"/>
                  <w:marBottom w:val="0"/>
                  <w:divBdr>
                    <w:top w:val="none" w:sz="0" w:space="0" w:color="auto"/>
                    <w:left w:val="none" w:sz="0" w:space="0" w:color="auto"/>
                    <w:bottom w:val="none" w:sz="0" w:space="0" w:color="auto"/>
                    <w:right w:val="none" w:sz="0" w:space="0" w:color="auto"/>
                  </w:divBdr>
                </w:div>
                <w:div w:id="2090153126">
                  <w:marLeft w:val="0"/>
                  <w:marRight w:val="0"/>
                  <w:marTop w:val="0"/>
                  <w:marBottom w:val="0"/>
                  <w:divBdr>
                    <w:top w:val="none" w:sz="0" w:space="0" w:color="auto"/>
                    <w:left w:val="none" w:sz="0" w:space="0" w:color="auto"/>
                    <w:bottom w:val="none" w:sz="0" w:space="0" w:color="auto"/>
                    <w:right w:val="none" w:sz="0" w:space="0" w:color="auto"/>
                  </w:divBdr>
                </w:div>
                <w:div w:id="1461460677">
                  <w:marLeft w:val="0"/>
                  <w:marRight w:val="0"/>
                  <w:marTop w:val="0"/>
                  <w:marBottom w:val="0"/>
                  <w:divBdr>
                    <w:top w:val="none" w:sz="0" w:space="0" w:color="auto"/>
                    <w:left w:val="none" w:sz="0" w:space="0" w:color="auto"/>
                    <w:bottom w:val="none" w:sz="0" w:space="0" w:color="auto"/>
                    <w:right w:val="none" w:sz="0" w:space="0" w:color="auto"/>
                  </w:divBdr>
                </w:div>
                <w:div w:id="262151337">
                  <w:marLeft w:val="0"/>
                  <w:marRight w:val="0"/>
                  <w:marTop w:val="0"/>
                  <w:marBottom w:val="0"/>
                  <w:divBdr>
                    <w:top w:val="none" w:sz="0" w:space="0" w:color="auto"/>
                    <w:left w:val="none" w:sz="0" w:space="0" w:color="auto"/>
                    <w:bottom w:val="none" w:sz="0" w:space="0" w:color="auto"/>
                    <w:right w:val="none" w:sz="0" w:space="0" w:color="auto"/>
                  </w:divBdr>
                </w:div>
                <w:div w:id="312415347">
                  <w:marLeft w:val="0"/>
                  <w:marRight w:val="0"/>
                  <w:marTop w:val="0"/>
                  <w:marBottom w:val="0"/>
                  <w:divBdr>
                    <w:top w:val="none" w:sz="0" w:space="0" w:color="auto"/>
                    <w:left w:val="none" w:sz="0" w:space="0" w:color="auto"/>
                    <w:bottom w:val="none" w:sz="0" w:space="0" w:color="auto"/>
                    <w:right w:val="none" w:sz="0" w:space="0" w:color="auto"/>
                  </w:divBdr>
                </w:div>
                <w:div w:id="152840688">
                  <w:marLeft w:val="0"/>
                  <w:marRight w:val="0"/>
                  <w:marTop w:val="0"/>
                  <w:marBottom w:val="0"/>
                  <w:divBdr>
                    <w:top w:val="none" w:sz="0" w:space="0" w:color="auto"/>
                    <w:left w:val="none" w:sz="0" w:space="0" w:color="auto"/>
                    <w:bottom w:val="none" w:sz="0" w:space="0" w:color="auto"/>
                    <w:right w:val="none" w:sz="0" w:space="0" w:color="auto"/>
                  </w:divBdr>
                </w:div>
                <w:div w:id="1621185688">
                  <w:marLeft w:val="0"/>
                  <w:marRight w:val="0"/>
                  <w:marTop w:val="0"/>
                  <w:marBottom w:val="0"/>
                  <w:divBdr>
                    <w:top w:val="none" w:sz="0" w:space="0" w:color="auto"/>
                    <w:left w:val="none" w:sz="0" w:space="0" w:color="auto"/>
                    <w:bottom w:val="none" w:sz="0" w:space="0" w:color="auto"/>
                    <w:right w:val="none" w:sz="0" w:space="0" w:color="auto"/>
                  </w:divBdr>
                </w:div>
                <w:div w:id="2106226523">
                  <w:marLeft w:val="0"/>
                  <w:marRight w:val="0"/>
                  <w:marTop w:val="0"/>
                  <w:marBottom w:val="0"/>
                  <w:divBdr>
                    <w:top w:val="none" w:sz="0" w:space="0" w:color="auto"/>
                    <w:left w:val="none" w:sz="0" w:space="0" w:color="auto"/>
                    <w:bottom w:val="none" w:sz="0" w:space="0" w:color="auto"/>
                    <w:right w:val="none" w:sz="0" w:space="0" w:color="auto"/>
                  </w:divBdr>
                </w:div>
                <w:div w:id="2029676043">
                  <w:marLeft w:val="0"/>
                  <w:marRight w:val="0"/>
                  <w:marTop w:val="0"/>
                  <w:marBottom w:val="0"/>
                  <w:divBdr>
                    <w:top w:val="none" w:sz="0" w:space="0" w:color="auto"/>
                    <w:left w:val="none" w:sz="0" w:space="0" w:color="auto"/>
                    <w:bottom w:val="none" w:sz="0" w:space="0" w:color="auto"/>
                    <w:right w:val="none" w:sz="0" w:space="0" w:color="auto"/>
                  </w:divBdr>
                </w:div>
                <w:div w:id="1705708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169257">
      <w:bodyDiv w:val="1"/>
      <w:marLeft w:val="0"/>
      <w:marRight w:val="0"/>
      <w:marTop w:val="0"/>
      <w:marBottom w:val="0"/>
      <w:divBdr>
        <w:top w:val="none" w:sz="0" w:space="0" w:color="auto"/>
        <w:left w:val="none" w:sz="0" w:space="0" w:color="auto"/>
        <w:bottom w:val="none" w:sz="0" w:space="0" w:color="auto"/>
        <w:right w:val="none" w:sz="0" w:space="0" w:color="auto"/>
      </w:divBdr>
      <w:divsChild>
        <w:div w:id="1803961720">
          <w:marLeft w:val="0"/>
          <w:marRight w:val="0"/>
          <w:marTop w:val="0"/>
          <w:marBottom w:val="0"/>
          <w:divBdr>
            <w:top w:val="none" w:sz="0" w:space="0" w:color="auto"/>
            <w:left w:val="none" w:sz="0" w:space="0" w:color="auto"/>
            <w:bottom w:val="none" w:sz="0" w:space="0" w:color="auto"/>
            <w:right w:val="none" w:sz="0" w:space="0" w:color="auto"/>
          </w:divBdr>
        </w:div>
        <w:div w:id="949899141">
          <w:marLeft w:val="0"/>
          <w:marRight w:val="0"/>
          <w:marTop w:val="0"/>
          <w:marBottom w:val="0"/>
          <w:divBdr>
            <w:top w:val="none" w:sz="0" w:space="0" w:color="auto"/>
            <w:left w:val="none" w:sz="0" w:space="0" w:color="auto"/>
            <w:bottom w:val="none" w:sz="0" w:space="0" w:color="auto"/>
            <w:right w:val="none" w:sz="0" w:space="0" w:color="auto"/>
          </w:divBdr>
        </w:div>
        <w:div w:id="1202935104">
          <w:marLeft w:val="0"/>
          <w:marRight w:val="0"/>
          <w:marTop w:val="0"/>
          <w:marBottom w:val="0"/>
          <w:divBdr>
            <w:top w:val="none" w:sz="0" w:space="0" w:color="auto"/>
            <w:left w:val="none" w:sz="0" w:space="0" w:color="auto"/>
            <w:bottom w:val="none" w:sz="0" w:space="0" w:color="auto"/>
            <w:right w:val="none" w:sz="0" w:space="0" w:color="auto"/>
          </w:divBdr>
        </w:div>
        <w:div w:id="473721237">
          <w:marLeft w:val="0"/>
          <w:marRight w:val="0"/>
          <w:marTop w:val="0"/>
          <w:marBottom w:val="0"/>
          <w:divBdr>
            <w:top w:val="none" w:sz="0" w:space="0" w:color="auto"/>
            <w:left w:val="none" w:sz="0" w:space="0" w:color="auto"/>
            <w:bottom w:val="none" w:sz="0" w:space="0" w:color="auto"/>
            <w:right w:val="none" w:sz="0" w:space="0" w:color="auto"/>
          </w:divBdr>
        </w:div>
        <w:div w:id="569466913">
          <w:marLeft w:val="0"/>
          <w:marRight w:val="0"/>
          <w:marTop w:val="0"/>
          <w:marBottom w:val="0"/>
          <w:divBdr>
            <w:top w:val="none" w:sz="0" w:space="0" w:color="auto"/>
            <w:left w:val="none" w:sz="0" w:space="0" w:color="auto"/>
            <w:bottom w:val="none" w:sz="0" w:space="0" w:color="auto"/>
            <w:right w:val="none" w:sz="0" w:space="0" w:color="auto"/>
          </w:divBdr>
        </w:div>
        <w:div w:id="152051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1065</TotalTime>
  <Pages>1</Pages>
  <Words>400</Words>
  <Characters>2281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Tossas-Milligan, Katherine Y</dc:creator>
  <cp:lastModifiedBy>Tossas-Milligan, Katherine Y</cp:lastModifiedBy>
  <cp:revision>5</cp:revision>
  <cp:lastPrinted>2017-06-28T20:56:00Z</cp:lastPrinted>
  <dcterms:created xsi:type="dcterms:W3CDTF">2017-06-21T23:06:00Z</dcterms:created>
  <dcterms:modified xsi:type="dcterms:W3CDTF">2017-06-30T17:04:00Z</dcterms:modified>
</cp:coreProperties>
</file>