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C6FD1" w:rsidRDefault="00EC6FD1" w:rsidP="0085530B">
      <w:pPr>
        <w:jc w:val="center"/>
        <w:rPr>
          <w:b/>
        </w:rPr>
      </w:pPr>
      <w:r>
        <w:rPr>
          <w:b/>
          <w:noProof/>
          <w:lang w:eastAsia="en-US"/>
        </w:rPr>
        <w:drawing>
          <wp:anchor distT="0" distB="0" distL="114300" distR="114300" simplePos="0" relativeHeight="251658240" behindDoc="1" locked="0" layoutInCell="1" allowOverlap="1">
            <wp:simplePos x="0" y="0"/>
            <wp:positionH relativeFrom="column">
              <wp:posOffset>4845685</wp:posOffset>
            </wp:positionH>
            <wp:positionV relativeFrom="paragraph">
              <wp:posOffset>-696595</wp:posOffset>
            </wp:positionV>
            <wp:extent cx="1508760" cy="2005965"/>
            <wp:effectExtent l="0" t="0" r="0" b="0"/>
            <wp:wrapTight wrapText="bothSides">
              <wp:wrapPolygon edited="0">
                <wp:start x="0" y="0"/>
                <wp:lineTo x="0" y="21333"/>
                <wp:lineTo x="21273" y="21333"/>
                <wp:lineTo x="21273"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eth-deepa-bio-261x347.jpg"/>
                    <pic:cNvPicPr/>
                  </pic:nvPicPr>
                  <pic:blipFill>
                    <a:blip r:embed="rId5">
                      <a:extLst>
                        <a:ext uri="{28A0092B-C50C-407E-A947-70E740481C1C}">
                          <a14:useLocalDpi xmlns:a14="http://schemas.microsoft.com/office/drawing/2010/main" val="0"/>
                        </a:ext>
                      </a:extLst>
                    </a:blip>
                    <a:stretch>
                      <a:fillRect/>
                    </a:stretch>
                  </pic:blipFill>
                  <pic:spPr>
                    <a:xfrm>
                      <a:off x="0" y="0"/>
                      <a:ext cx="1508760" cy="2005965"/>
                    </a:xfrm>
                    <a:prstGeom prst="rect">
                      <a:avLst/>
                    </a:prstGeom>
                  </pic:spPr>
                </pic:pic>
              </a:graphicData>
            </a:graphic>
            <wp14:sizeRelH relativeFrom="page">
              <wp14:pctWidth>0</wp14:pctWidth>
            </wp14:sizeRelH>
            <wp14:sizeRelV relativeFrom="page">
              <wp14:pctHeight>0</wp14:pctHeight>
            </wp14:sizeRelV>
          </wp:anchor>
        </w:drawing>
      </w:r>
    </w:p>
    <w:p w:rsidR="00EC6FD1" w:rsidRDefault="00EC6FD1" w:rsidP="0085530B">
      <w:pPr>
        <w:jc w:val="center"/>
        <w:rPr>
          <w:b/>
        </w:rPr>
      </w:pPr>
    </w:p>
    <w:p w:rsidR="0085530B" w:rsidRDefault="0085530B" w:rsidP="0085530B">
      <w:pPr>
        <w:jc w:val="center"/>
      </w:pPr>
      <w:r w:rsidRPr="00214889">
        <w:rPr>
          <w:b/>
        </w:rPr>
        <w:t>L</w:t>
      </w:r>
      <w:r>
        <w:t xml:space="preserve">ow-dose </w:t>
      </w:r>
      <w:r w:rsidRPr="00214889">
        <w:rPr>
          <w:b/>
        </w:rPr>
        <w:t>I</w:t>
      </w:r>
      <w:r>
        <w:t xml:space="preserve">maging </w:t>
      </w:r>
      <w:r w:rsidRPr="00214889">
        <w:rPr>
          <w:b/>
        </w:rPr>
        <w:t>Te</w:t>
      </w:r>
      <w:r>
        <w:t>chnique (LITE) MRI: Introduction of a reduced-dosage dynamic contrast enhanced MRI technique in breast imaging.</w:t>
      </w:r>
    </w:p>
    <w:p w:rsidR="0085530B" w:rsidRDefault="0085530B" w:rsidP="0085530B">
      <w:pPr>
        <w:jc w:val="center"/>
      </w:pPr>
      <w:r>
        <w:t xml:space="preserve">D. </w:t>
      </w:r>
      <w:proofErr w:type="spellStart"/>
      <w:r>
        <w:t>Sheth</w:t>
      </w:r>
      <w:proofErr w:type="spellEnd"/>
      <w:r>
        <w:t xml:space="preserve">, F Pineda, G </w:t>
      </w:r>
      <w:proofErr w:type="spellStart"/>
      <w:r>
        <w:t>Karczmar</w:t>
      </w:r>
      <w:proofErr w:type="spellEnd"/>
      <w:r>
        <w:t>, H Abe.</w:t>
      </w:r>
    </w:p>
    <w:p w:rsidR="0085530B" w:rsidRDefault="0085530B" w:rsidP="0085530B">
      <w:r w:rsidRPr="00F167EC">
        <w:rPr>
          <w:b/>
        </w:rPr>
        <w:t>Purpose</w:t>
      </w:r>
      <w:r>
        <w:t>: To evaluate the diagnostic equivalency of a reduced-dosage dynamic contrast enhanced (DCE) breast MRI technique to standard-dosage utilizing a novel dual-dose injection protocol.</w:t>
      </w:r>
    </w:p>
    <w:p w:rsidR="0085530B" w:rsidRDefault="0085530B" w:rsidP="0085530B">
      <w:r w:rsidRPr="00F167EC">
        <w:rPr>
          <w:b/>
        </w:rPr>
        <w:t>Methods and Materials</w:t>
      </w:r>
      <w:r>
        <w:t>: Between October 2017 and April 2018, six patients (age range: 18-60) with a total of eight lesions (lesion size range: 0.5-2.0 cm as measured on ultrasound) with imaging features suggestive of a fibroadenoma were imaged. All lesions were ultimately either biopsy-proven or clinically</w:t>
      </w:r>
      <w:r w:rsidRPr="004609BF">
        <w:t xml:space="preserve">-confirmed </w:t>
      </w:r>
      <w:r>
        <w:t xml:space="preserve">to be </w:t>
      </w:r>
      <w:r w:rsidRPr="004609BF">
        <w:t xml:space="preserve">benign. </w:t>
      </w:r>
      <w:r>
        <w:t xml:space="preserve">Each patient underwent an IRB-approved dynamic contrast-enhanced MRI scan utilizing a novel dual-dose injection protocol. Pre-contrast scans including T2-weighted scans and high temporal resolutions scans were obtained. Next, 15% of the contrast was administered with post-contrast imaging including: standard T1 weighted scans and high temporal resolution scans. Approximately 10 minutes later, 85% of the contrast was administered with repeat post-contrast imaging similar to prior.  Two radiologists reviewed the low-dose MR images and high-dose MR images to evaluate for: lesion conspicuity, imaging characteristics and enhancement kinetics. </w:t>
      </w:r>
    </w:p>
    <w:p w:rsidR="0085530B" w:rsidRDefault="0085530B" w:rsidP="0085530B">
      <w:r w:rsidRPr="00F167EC">
        <w:rPr>
          <w:b/>
        </w:rPr>
        <w:t>Results</w:t>
      </w:r>
      <w:r>
        <w:t xml:space="preserve">: In all 8 out of 8 lesions, there was concordance between the low-dose MR images and high-dose MR images in terms of lesion conspicuity and imaging characteristics. </w:t>
      </w:r>
      <w:r>
        <w:rPr>
          <w:rFonts w:ascii="Calibri" w:hAnsi="Calibri"/>
          <w:color w:val="000000"/>
        </w:rPr>
        <w:t xml:space="preserve">While the ratio of the contrast doses administered was roughly 0.18, this was not reflected in the ratios of kinetic parameters. The uptake rate ratio (low-to-high dose) was 1.30 ± </w:t>
      </w:r>
      <w:proofErr w:type="gramStart"/>
      <w:r>
        <w:rPr>
          <w:rFonts w:ascii="Calibri" w:hAnsi="Calibri"/>
          <w:color w:val="000000"/>
        </w:rPr>
        <w:t>0.39,</w:t>
      </w:r>
      <w:proofErr w:type="gramEnd"/>
      <w:r>
        <w:rPr>
          <w:rFonts w:ascii="Calibri" w:hAnsi="Calibri"/>
          <w:color w:val="000000"/>
        </w:rPr>
        <w:t xml:space="preserve"> upper limit of enhancement had a 0.31 ± 0.06 ratio, and 0.35 ± 0.06 for initial area under the uptake curve. </w:t>
      </w:r>
      <w:r w:rsidRPr="0085530B">
        <w:t>Rates of initial uptake measured with low-dose MRI were uniformly and significantly greater than rates measured by the high-dose MRI.</w:t>
      </w:r>
      <w:r w:rsidRPr="007D08DE">
        <w:rPr>
          <w:i/>
        </w:rPr>
        <w:t xml:space="preserve">  </w:t>
      </w:r>
      <w:r>
        <w:rPr>
          <w:rFonts w:ascii="Calibri" w:hAnsi="Calibri"/>
          <w:color w:val="000000"/>
        </w:rPr>
        <w:t xml:space="preserve">Lesion time-to-enhancement was similar for both doses, with a ratio of 0.91 ± 0.06. Lesion conspicuity was measured as the ratio of the signal increase in the lesion to the signal increase in the surrounding parenchyma. The average lesion conspicuity over the first minute of enhancement had a low-to-high dose ratio of </w:t>
      </w:r>
      <w:r w:rsidR="00F167EC">
        <w:rPr>
          <w:rFonts w:ascii="Calibri" w:hAnsi="Calibri"/>
          <w:color w:val="000000"/>
        </w:rPr>
        <w:t>1.87 ± 0.99.</w:t>
      </w:r>
    </w:p>
    <w:p w:rsidR="0085530B" w:rsidRDefault="0085530B" w:rsidP="0085530B">
      <w:r w:rsidRPr="00F167EC">
        <w:rPr>
          <w:b/>
        </w:rPr>
        <w:t>Conclusion</w:t>
      </w:r>
      <w:r>
        <w:t xml:space="preserve">: This preliminary study demonstrates that LITE MRI has the potential to be diagnostically equivalent to standard DCE MRI in breast imaging. </w:t>
      </w:r>
    </w:p>
    <w:p w:rsidR="00155C88" w:rsidRDefault="00F167EC" w:rsidP="00155C88">
      <w:pPr>
        <w:rPr>
          <w:rFonts w:eastAsia="Times New Roman" w:cs="Arial"/>
          <w:lang w:eastAsia="en-US"/>
        </w:rPr>
      </w:pPr>
      <w:r w:rsidRPr="00F167EC">
        <w:rPr>
          <w:b/>
        </w:rPr>
        <w:t>Clinical Relevance</w:t>
      </w:r>
      <w:r w:rsidRPr="00F167EC">
        <w:t xml:space="preserve">:  </w:t>
      </w:r>
      <w:r w:rsidRPr="00F167EC">
        <w:rPr>
          <w:rFonts w:eastAsia="Times New Roman" w:cs="Arial"/>
          <w:lang w:eastAsia="en-US"/>
        </w:rPr>
        <w:t>Low-dose imaging technique (LITE) MRI can be a promising alternati</w:t>
      </w:r>
      <w:r>
        <w:rPr>
          <w:rFonts w:eastAsia="Times New Roman" w:cs="Arial"/>
          <w:lang w:eastAsia="en-US"/>
        </w:rPr>
        <w:t xml:space="preserve">ve to standard-dose breast MRI, </w:t>
      </w:r>
      <w:r w:rsidR="00155C88">
        <w:rPr>
          <w:rFonts w:eastAsia="Times New Roman" w:cs="Arial"/>
          <w:lang w:eastAsia="en-US"/>
        </w:rPr>
        <w:t xml:space="preserve">particularly </w:t>
      </w:r>
      <w:r w:rsidR="00155C88" w:rsidRPr="00F167EC">
        <w:rPr>
          <w:rFonts w:eastAsia="Times New Roman" w:cs="Arial"/>
          <w:lang w:eastAsia="en-US"/>
        </w:rPr>
        <w:t>with recent concerns related to gadolinium deposition.</w:t>
      </w:r>
    </w:p>
    <w:p w:rsidR="00155C88" w:rsidRDefault="00155C88" w:rsidP="00155C88">
      <w:pPr>
        <w:rPr>
          <w:rFonts w:eastAsia="Times New Roman" w:cs="Arial"/>
          <w:lang w:eastAsia="en-US"/>
        </w:rPr>
      </w:pPr>
    </w:p>
    <w:p w:rsidR="00155C88" w:rsidRDefault="00155C88" w:rsidP="00155C88">
      <w:pPr>
        <w:rPr>
          <w:rFonts w:eastAsia="Times New Roman" w:cs="Arial"/>
          <w:lang w:eastAsia="en-US"/>
        </w:rPr>
      </w:pPr>
    </w:p>
    <w:p w:rsidR="003A32C1" w:rsidRDefault="003A32C1" w:rsidP="00155C88">
      <w:pPr>
        <w:rPr>
          <w:rFonts w:eastAsia="Times New Roman" w:cs="Arial"/>
          <w:lang w:eastAsia="en-US"/>
        </w:rPr>
      </w:pPr>
    </w:p>
    <w:p w:rsidR="00EC6FD1" w:rsidRDefault="00EC6FD1" w:rsidP="00EC6FD1">
      <w:pPr>
        <w:pStyle w:val="NormalWeb"/>
        <w:shd w:val="clear" w:color="auto" w:fill="FFFFFF"/>
        <w:spacing w:before="0" w:beforeAutospacing="0" w:after="300" w:afterAutospacing="0"/>
        <w:rPr>
          <w:rFonts w:asciiTheme="minorHAnsi" w:hAnsiTheme="minorHAnsi"/>
          <w:color w:val="373737"/>
          <w:sz w:val="22"/>
          <w:szCs w:val="22"/>
        </w:rPr>
      </w:pPr>
      <w:r w:rsidRPr="00EC6FD1">
        <w:rPr>
          <w:rFonts w:asciiTheme="minorHAnsi" w:hAnsiTheme="minorHAnsi"/>
          <w:b/>
          <w:sz w:val="22"/>
          <w:szCs w:val="22"/>
        </w:rPr>
        <w:lastRenderedPageBreak/>
        <w:t>Biography</w:t>
      </w:r>
      <w:r w:rsidRPr="00EC6FD1">
        <w:rPr>
          <w:rFonts w:asciiTheme="minorHAnsi" w:hAnsiTheme="minorHAnsi"/>
          <w:sz w:val="22"/>
          <w:szCs w:val="22"/>
        </w:rPr>
        <w:t xml:space="preserve">: Deepa </w:t>
      </w:r>
      <w:proofErr w:type="spellStart"/>
      <w:r w:rsidRPr="00EC6FD1">
        <w:rPr>
          <w:rFonts w:asciiTheme="minorHAnsi" w:hAnsiTheme="minorHAnsi"/>
          <w:sz w:val="22"/>
          <w:szCs w:val="22"/>
        </w:rPr>
        <w:t>Sheth</w:t>
      </w:r>
      <w:proofErr w:type="spellEnd"/>
      <w:r w:rsidRPr="00EC6FD1">
        <w:rPr>
          <w:rFonts w:asciiTheme="minorHAnsi" w:hAnsiTheme="minorHAnsi"/>
          <w:sz w:val="22"/>
          <w:szCs w:val="22"/>
        </w:rPr>
        <w:t xml:space="preserve"> has completed her MD at the age of 24 years at the University of Illinois at Chicago and graduate studies from University of Chicago Medicine. She is currently an Assistant Professor of Radiology at the University of Chicago Medicine. </w:t>
      </w:r>
      <w:proofErr w:type="gramStart"/>
      <w:r w:rsidRPr="00EC6FD1">
        <w:rPr>
          <w:rFonts w:asciiTheme="minorHAnsi" w:hAnsiTheme="minorHAnsi"/>
          <w:sz w:val="22"/>
          <w:szCs w:val="22"/>
        </w:rPr>
        <w:t xml:space="preserve">She </w:t>
      </w:r>
      <w:r w:rsidRPr="00EC6FD1">
        <w:rPr>
          <w:rFonts w:asciiTheme="minorHAnsi" w:hAnsiTheme="minorHAnsi"/>
          <w:sz w:val="22"/>
          <w:szCs w:val="22"/>
        </w:rPr>
        <w:t xml:space="preserve"> </w:t>
      </w:r>
      <w:r w:rsidRPr="00EC6FD1">
        <w:rPr>
          <w:rFonts w:asciiTheme="minorHAnsi" w:hAnsiTheme="minorHAnsi"/>
          <w:color w:val="373737"/>
          <w:sz w:val="22"/>
          <w:szCs w:val="22"/>
        </w:rPr>
        <w:t>is</w:t>
      </w:r>
      <w:proofErr w:type="gramEnd"/>
      <w:r w:rsidRPr="00EC6FD1">
        <w:rPr>
          <w:rFonts w:asciiTheme="minorHAnsi" w:hAnsiTheme="minorHAnsi"/>
          <w:color w:val="373737"/>
          <w:sz w:val="22"/>
          <w:szCs w:val="22"/>
        </w:rPr>
        <w:t xml:space="preserve"> an oncology radiologist who believes women should be empowered with options for the early detection, diagnosis and treatment of </w:t>
      </w:r>
      <w:hyperlink r:id="rId6" w:history="1">
        <w:r w:rsidRPr="00EC6FD1">
          <w:rPr>
            <w:rStyle w:val="Hyperlink"/>
            <w:rFonts w:asciiTheme="minorHAnsi" w:hAnsiTheme="minorHAnsi"/>
            <w:color w:val="800000"/>
            <w:sz w:val="22"/>
            <w:szCs w:val="22"/>
          </w:rPr>
          <w:t>breast cancer</w:t>
        </w:r>
      </w:hyperlink>
      <w:r w:rsidRPr="00EC6FD1">
        <w:rPr>
          <w:rFonts w:asciiTheme="minorHAnsi" w:hAnsiTheme="minorHAnsi"/>
          <w:color w:val="373737"/>
          <w:sz w:val="22"/>
          <w:szCs w:val="22"/>
        </w:rPr>
        <w:t xml:space="preserve">. Dr. </w:t>
      </w:r>
      <w:proofErr w:type="spellStart"/>
      <w:r w:rsidRPr="00EC6FD1">
        <w:rPr>
          <w:rFonts w:asciiTheme="minorHAnsi" w:hAnsiTheme="minorHAnsi"/>
          <w:color w:val="373737"/>
          <w:sz w:val="22"/>
          <w:szCs w:val="22"/>
        </w:rPr>
        <w:t>Sheth</w:t>
      </w:r>
      <w:proofErr w:type="spellEnd"/>
      <w:r w:rsidRPr="00EC6FD1">
        <w:rPr>
          <w:rFonts w:asciiTheme="minorHAnsi" w:hAnsiTheme="minorHAnsi"/>
          <w:color w:val="373737"/>
          <w:sz w:val="22"/>
          <w:szCs w:val="22"/>
        </w:rPr>
        <w:t xml:space="preserve"> is active in various multi-institutional clinical trials that evaluate MRI imaging as a tool to predict and classify potential malignancies. She has written or co-authored more than a dozen articles on breast cancer that have appeared in the </w:t>
      </w:r>
      <w:r w:rsidRPr="00EC6FD1">
        <w:rPr>
          <w:rStyle w:val="Emphasis"/>
          <w:rFonts w:asciiTheme="minorHAnsi" w:hAnsiTheme="minorHAnsi"/>
          <w:color w:val="373737"/>
          <w:sz w:val="22"/>
          <w:szCs w:val="22"/>
        </w:rPr>
        <w:t xml:space="preserve">American Journal of </w:t>
      </w:r>
      <w:proofErr w:type="spellStart"/>
      <w:r w:rsidRPr="00EC6FD1">
        <w:rPr>
          <w:rStyle w:val="Emphasis"/>
          <w:rFonts w:asciiTheme="minorHAnsi" w:hAnsiTheme="minorHAnsi"/>
          <w:color w:val="373737"/>
          <w:sz w:val="22"/>
          <w:szCs w:val="22"/>
        </w:rPr>
        <w:t>Roentgenology</w:t>
      </w:r>
      <w:proofErr w:type="spellEnd"/>
      <w:r w:rsidRPr="00EC6FD1">
        <w:rPr>
          <w:rFonts w:asciiTheme="minorHAnsi" w:hAnsiTheme="minorHAnsi"/>
          <w:color w:val="373737"/>
          <w:sz w:val="22"/>
          <w:szCs w:val="22"/>
        </w:rPr>
        <w:t>, </w:t>
      </w:r>
      <w:r w:rsidRPr="00EC6FD1">
        <w:rPr>
          <w:rStyle w:val="Emphasis"/>
          <w:rFonts w:asciiTheme="minorHAnsi" w:hAnsiTheme="minorHAnsi"/>
          <w:color w:val="373737"/>
          <w:sz w:val="22"/>
          <w:szCs w:val="22"/>
        </w:rPr>
        <w:t>European Journal of Radiology</w:t>
      </w:r>
      <w:r w:rsidRPr="00EC6FD1">
        <w:rPr>
          <w:rFonts w:asciiTheme="minorHAnsi" w:hAnsiTheme="minorHAnsi"/>
          <w:color w:val="373737"/>
          <w:sz w:val="22"/>
          <w:szCs w:val="22"/>
        </w:rPr>
        <w:t> and </w:t>
      </w:r>
      <w:r w:rsidRPr="00EC6FD1">
        <w:rPr>
          <w:rStyle w:val="Emphasis"/>
          <w:rFonts w:asciiTheme="minorHAnsi" w:hAnsiTheme="minorHAnsi"/>
          <w:color w:val="373737"/>
          <w:sz w:val="22"/>
          <w:szCs w:val="22"/>
        </w:rPr>
        <w:t>Journal of Vascular Interventional Radiology</w:t>
      </w:r>
      <w:r w:rsidRPr="00EC6FD1">
        <w:rPr>
          <w:rFonts w:asciiTheme="minorHAnsi" w:hAnsiTheme="minorHAnsi"/>
          <w:color w:val="373737"/>
          <w:sz w:val="22"/>
          <w:szCs w:val="22"/>
        </w:rPr>
        <w:t>.</w:t>
      </w:r>
    </w:p>
    <w:p w:rsidR="00EC6FD1" w:rsidRPr="00EC6FD1" w:rsidRDefault="00EC6FD1" w:rsidP="00EC6FD1">
      <w:pPr>
        <w:autoSpaceDE w:val="0"/>
        <w:autoSpaceDN w:val="0"/>
        <w:adjustRightInd w:val="0"/>
        <w:rPr>
          <w:b/>
          <w:lang w:val="en-NZ"/>
        </w:rPr>
      </w:pPr>
      <w:bookmarkStart w:id="0" w:name="_GoBack"/>
      <w:bookmarkEnd w:id="0"/>
      <w:r w:rsidRPr="008A690F">
        <w:rPr>
          <w:b/>
          <w:lang w:val="en-NZ"/>
        </w:rPr>
        <w:t xml:space="preserve">Presenting author details </w:t>
      </w:r>
      <w:r w:rsidRPr="008A690F">
        <w:rPr>
          <w:b/>
          <w:lang w:val="en-NZ"/>
        </w:rPr>
        <w:br/>
      </w:r>
      <w:r w:rsidRPr="008A690F">
        <w:rPr>
          <w:lang w:val="en-NZ"/>
        </w:rPr>
        <w:t xml:space="preserve">Full name: </w:t>
      </w:r>
      <w:r>
        <w:rPr>
          <w:lang w:val="en-NZ"/>
        </w:rPr>
        <w:t xml:space="preserve"> Deepa </w:t>
      </w:r>
      <w:proofErr w:type="spellStart"/>
      <w:r>
        <w:rPr>
          <w:lang w:val="en-NZ"/>
        </w:rPr>
        <w:t>Sheth</w:t>
      </w:r>
      <w:proofErr w:type="spellEnd"/>
      <w:r w:rsidRPr="008A690F">
        <w:rPr>
          <w:lang w:val="en-NZ"/>
        </w:rPr>
        <w:br/>
        <w:t>Contact number:</w:t>
      </w:r>
      <w:r>
        <w:rPr>
          <w:lang w:val="en-NZ"/>
        </w:rPr>
        <w:t xml:space="preserve"> 630 730 4246</w:t>
      </w:r>
      <w:r>
        <w:rPr>
          <w:lang w:val="en-NZ"/>
        </w:rPr>
        <w:tab/>
      </w:r>
      <w:r w:rsidRPr="008A690F">
        <w:rPr>
          <w:lang w:val="en-NZ"/>
        </w:rPr>
        <w:br/>
        <w:t>Twitter account:</w:t>
      </w:r>
      <w:r>
        <w:rPr>
          <w:lang w:val="en-NZ"/>
        </w:rPr>
        <w:t xml:space="preserve"> @dsheth2</w:t>
      </w:r>
      <w:r w:rsidRPr="008A690F">
        <w:rPr>
          <w:lang w:val="en-NZ"/>
        </w:rPr>
        <w:br/>
        <w:t>Linked In account:</w:t>
      </w:r>
      <w:r>
        <w:rPr>
          <w:lang w:val="en-NZ"/>
        </w:rPr>
        <w:t xml:space="preserve"> Deepa </w:t>
      </w:r>
      <w:proofErr w:type="spellStart"/>
      <w:r>
        <w:rPr>
          <w:lang w:val="en-NZ"/>
        </w:rPr>
        <w:t>Sheth</w:t>
      </w:r>
      <w:proofErr w:type="spellEnd"/>
      <w:r w:rsidRPr="008A690F">
        <w:rPr>
          <w:lang w:val="en-NZ"/>
        </w:rPr>
        <w:br/>
        <w:t>Category: (Oral presentation/ Poster presentation)</w:t>
      </w:r>
      <w:r>
        <w:rPr>
          <w:lang w:val="en-NZ"/>
        </w:rPr>
        <w:t>: Oral Presentation</w:t>
      </w:r>
      <w:r>
        <w:rPr>
          <w:lang w:val="en-NZ"/>
        </w:rPr>
        <w:br/>
      </w:r>
    </w:p>
    <w:p w:rsidR="00EC6FD1" w:rsidRPr="00EC6FD1" w:rsidRDefault="00EC6FD1" w:rsidP="00EC6FD1">
      <w:pPr>
        <w:pStyle w:val="NormalWeb"/>
        <w:shd w:val="clear" w:color="auto" w:fill="FFFFFF"/>
        <w:spacing w:before="0" w:beforeAutospacing="0" w:after="300" w:afterAutospacing="0"/>
        <w:rPr>
          <w:rFonts w:asciiTheme="minorHAnsi" w:hAnsiTheme="minorHAnsi"/>
          <w:color w:val="373737"/>
          <w:sz w:val="22"/>
          <w:szCs w:val="22"/>
        </w:rPr>
      </w:pPr>
    </w:p>
    <w:p w:rsidR="00EC6FD1" w:rsidRPr="00EC6FD1" w:rsidRDefault="00EC6FD1" w:rsidP="00EC6FD1">
      <w:pPr>
        <w:jc w:val="both"/>
        <w:rPr>
          <w:rFonts w:eastAsia="MS PGothic"/>
          <w:b/>
          <w:color w:val="000000"/>
        </w:rPr>
      </w:pPr>
      <w:r w:rsidRPr="00EC6FD1">
        <w:br/>
      </w:r>
    </w:p>
    <w:p w:rsidR="00F167EC" w:rsidRDefault="00F167EC" w:rsidP="0085530B"/>
    <w:p w:rsidR="00E50211" w:rsidRDefault="00E50211" w:rsidP="0085530B"/>
    <w:p w:rsidR="00E50211" w:rsidRDefault="00E50211" w:rsidP="0085530B"/>
    <w:p w:rsidR="00E50211" w:rsidRDefault="00E50211" w:rsidP="0085530B"/>
    <w:p w:rsidR="00E50211" w:rsidRDefault="00E50211" w:rsidP="0085530B"/>
    <w:p w:rsidR="00E50211" w:rsidRDefault="00E50211" w:rsidP="0085530B"/>
    <w:p w:rsidR="00E50211" w:rsidRDefault="00E50211" w:rsidP="0085530B"/>
    <w:p w:rsidR="00E50211" w:rsidRDefault="00E50211" w:rsidP="0085530B"/>
    <w:p w:rsidR="00E50211" w:rsidRDefault="00E50211" w:rsidP="0085530B"/>
    <w:p w:rsidR="00E50211" w:rsidRDefault="00E50211" w:rsidP="0085530B"/>
    <w:p w:rsidR="00E50211" w:rsidRDefault="00E50211" w:rsidP="0085530B"/>
    <w:p w:rsidR="00E50211" w:rsidRDefault="00E50211" w:rsidP="0085530B"/>
    <w:p w:rsidR="00E50211" w:rsidRDefault="00E50211" w:rsidP="0085530B"/>
    <w:p w:rsidR="00E50211" w:rsidRDefault="00E50211" w:rsidP="0085530B"/>
    <w:p w:rsidR="00E50211" w:rsidRDefault="00E50211" w:rsidP="0085530B"/>
    <w:p w:rsidR="00E50211" w:rsidRDefault="00E50211" w:rsidP="0085530B"/>
    <w:p w:rsidR="00E50211" w:rsidRDefault="00E50211" w:rsidP="0085530B"/>
    <w:p w:rsidR="00E50211" w:rsidRDefault="00E50211" w:rsidP="0085530B"/>
    <w:p w:rsidR="00E50211" w:rsidRDefault="00E50211" w:rsidP="0085530B"/>
    <w:p w:rsidR="00E50211" w:rsidRDefault="00E50211" w:rsidP="0085530B"/>
    <w:p w:rsidR="00E50211" w:rsidRDefault="00E50211" w:rsidP="0085530B"/>
    <w:p w:rsidR="00E50211" w:rsidRDefault="00E50211" w:rsidP="0085530B"/>
    <w:p w:rsidR="00E50211" w:rsidRDefault="00E50211" w:rsidP="0085530B"/>
    <w:tbl>
      <w:tblPr>
        <w:tblW w:w="5000" w:type="pct"/>
        <w:jc w:val="center"/>
        <w:tblCellSpacing w:w="0" w:type="dxa"/>
        <w:tblBorders>
          <w:top w:val="single" w:sz="6" w:space="0" w:color="CCD9E8"/>
          <w:left w:val="single" w:sz="6" w:space="0" w:color="CCD9E8"/>
          <w:bottom w:val="single" w:sz="6" w:space="0" w:color="CCD9E8"/>
          <w:right w:val="single" w:sz="6" w:space="0" w:color="CCD9E8"/>
        </w:tblBorders>
        <w:shd w:val="clear" w:color="auto" w:fill="FFFFFF"/>
        <w:tblCellMar>
          <w:left w:w="0" w:type="dxa"/>
          <w:right w:w="0" w:type="dxa"/>
        </w:tblCellMar>
        <w:tblLook w:val="04A0" w:firstRow="1" w:lastRow="0" w:firstColumn="1" w:lastColumn="0" w:noHBand="0" w:noVBand="1"/>
      </w:tblPr>
      <w:tblGrid>
        <w:gridCol w:w="3966"/>
        <w:gridCol w:w="5424"/>
      </w:tblGrid>
      <w:tr w:rsidR="00E50211" w:rsidRPr="00E50211" w:rsidTr="00E50211">
        <w:trPr>
          <w:tblCellSpacing w:w="0" w:type="dxa"/>
          <w:jc w:val="center"/>
        </w:trPr>
        <w:tc>
          <w:tcPr>
            <w:tcW w:w="0" w:type="auto"/>
            <w:shd w:val="clear" w:color="auto" w:fill="FFFFFF"/>
            <w:hideMark/>
          </w:tcPr>
          <w:p w:rsidR="00E50211" w:rsidRPr="00E50211" w:rsidRDefault="00E50211" w:rsidP="00E50211">
            <w:pPr>
              <w:spacing w:after="0" w:line="240" w:lineRule="auto"/>
              <w:rPr>
                <w:rFonts w:ascii="Arial" w:eastAsia="Times New Roman" w:hAnsi="Arial" w:cs="Arial"/>
                <w:sz w:val="18"/>
                <w:szCs w:val="18"/>
                <w:lang w:eastAsia="en-US"/>
              </w:rPr>
            </w:pPr>
            <w:r w:rsidRPr="00E50211">
              <w:rPr>
                <w:rFonts w:ascii="Arial" w:eastAsia="Times New Roman" w:hAnsi="Arial" w:cs="Arial"/>
                <w:sz w:val="18"/>
                <w:szCs w:val="18"/>
                <w:lang w:eastAsia="en-US"/>
              </w:rPr>
              <w:t>Contact: Deepa </w:t>
            </w:r>
            <w:proofErr w:type="spellStart"/>
            <w:r w:rsidRPr="00E50211">
              <w:rPr>
                <w:rFonts w:ascii="Arial" w:eastAsia="Times New Roman" w:hAnsi="Arial" w:cs="Arial"/>
                <w:sz w:val="18"/>
                <w:szCs w:val="18"/>
                <w:lang w:eastAsia="en-US"/>
              </w:rPr>
              <w:t>Sheth</w:t>
            </w:r>
            <w:proofErr w:type="spellEnd"/>
            <w:r w:rsidRPr="00E50211">
              <w:rPr>
                <w:rFonts w:ascii="Arial" w:eastAsia="Times New Roman" w:hAnsi="Arial" w:cs="Arial"/>
                <w:sz w:val="18"/>
                <w:szCs w:val="18"/>
                <w:lang w:eastAsia="en-US"/>
              </w:rPr>
              <w:t> MD</w:t>
            </w:r>
            <w:r w:rsidRPr="00E50211">
              <w:rPr>
                <w:rFonts w:ascii="Arial" w:eastAsia="Times New Roman" w:hAnsi="Arial" w:cs="Arial"/>
                <w:sz w:val="18"/>
                <w:szCs w:val="18"/>
                <w:lang w:eastAsia="en-US"/>
              </w:rPr>
              <w:br/>
              <w:t>INSTITUTION: University of Chicago Medicine </w:t>
            </w:r>
            <w:r w:rsidRPr="00E50211">
              <w:rPr>
                <w:rFonts w:ascii="Arial" w:eastAsia="Times New Roman" w:hAnsi="Arial" w:cs="Arial"/>
                <w:sz w:val="18"/>
                <w:szCs w:val="18"/>
                <w:lang w:eastAsia="en-US"/>
              </w:rPr>
              <w:br/>
            </w:r>
            <w:proofErr w:type="spellStart"/>
            <w:r w:rsidRPr="00E50211">
              <w:rPr>
                <w:rFonts w:ascii="Arial" w:eastAsia="Times New Roman" w:hAnsi="Arial" w:cs="Arial"/>
                <w:sz w:val="18"/>
                <w:szCs w:val="18"/>
                <w:lang w:eastAsia="en-US"/>
              </w:rPr>
              <w:t>Dept</w:t>
            </w:r>
            <w:proofErr w:type="spellEnd"/>
            <w:r w:rsidRPr="00E50211">
              <w:rPr>
                <w:rFonts w:ascii="Arial" w:eastAsia="Times New Roman" w:hAnsi="Arial" w:cs="Arial"/>
                <w:sz w:val="18"/>
                <w:szCs w:val="18"/>
                <w:lang w:eastAsia="en-US"/>
              </w:rPr>
              <w:t xml:space="preserve"> of Radiology</w:t>
            </w:r>
          </w:p>
        </w:tc>
        <w:tc>
          <w:tcPr>
            <w:tcW w:w="0" w:type="auto"/>
            <w:shd w:val="clear" w:color="auto" w:fill="FFFFFF"/>
            <w:hideMark/>
          </w:tcPr>
          <w:p w:rsidR="00E50211" w:rsidRPr="00E50211" w:rsidRDefault="00E50211" w:rsidP="00E50211">
            <w:pPr>
              <w:spacing w:after="0" w:line="240" w:lineRule="auto"/>
              <w:jc w:val="right"/>
              <w:rPr>
                <w:rFonts w:ascii="Arial" w:eastAsia="Times New Roman" w:hAnsi="Arial" w:cs="Arial"/>
                <w:sz w:val="18"/>
                <w:szCs w:val="18"/>
                <w:lang w:eastAsia="en-US"/>
              </w:rPr>
            </w:pPr>
            <w:r w:rsidRPr="00E50211">
              <w:rPr>
                <w:rFonts w:ascii="Arial" w:eastAsia="Times New Roman" w:hAnsi="Arial" w:cs="Arial"/>
                <w:sz w:val="18"/>
                <w:szCs w:val="18"/>
                <w:lang w:eastAsia="en-US"/>
              </w:rPr>
              <w:br/>
              <w:t>E-Mail: dsheth@radiology.bsd.uchicago.edu</w:t>
            </w:r>
          </w:p>
        </w:tc>
      </w:tr>
      <w:tr w:rsidR="00E50211" w:rsidRPr="00E50211" w:rsidTr="00E50211">
        <w:trPr>
          <w:tblCellSpacing w:w="0" w:type="dxa"/>
          <w:jc w:val="center"/>
        </w:trPr>
        <w:tc>
          <w:tcPr>
            <w:tcW w:w="0" w:type="auto"/>
            <w:gridSpan w:val="2"/>
            <w:shd w:val="clear" w:color="auto" w:fill="FFFFFF"/>
            <w:vAlign w:val="center"/>
            <w:hideMark/>
          </w:tcPr>
          <w:p w:rsidR="00E50211" w:rsidRPr="00E50211" w:rsidRDefault="00E50211" w:rsidP="00E50211">
            <w:pPr>
              <w:spacing w:after="0" w:line="240" w:lineRule="auto"/>
              <w:rPr>
                <w:rFonts w:ascii="Arial" w:eastAsia="Times New Roman" w:hAnsi="Arial" w:cs="Arial"/>
                <w:sz w:val="18"/>
                <w:szCs w:val="18"/>
                <w:lang w:eastAsia="en-US"/>
              </w:rPr>
            </w:pPr>
            <w:r w:rsidRPr="00E50211">
              <w:rPr>
                <w:rFonts w:ascii="Arial" w:eastAsia="Times New Roman" w:hAnsi="Arial" w:cs="Arial"/>
                <w:sz w:val="18"/>
                <w:szCs w:val="18"/>
                <w:lang w:eastAsia="en-US"/>
              </w:rPr>
              <w:t>Primary Category: Breast Imaging </w:t>
            </w:r>
            <w:r w:rsidRPr="00E50211">
              <w:rPr>
                <w:rFonts w:ascii="Arial" w:eastAsia="Times New Roman" w:hAnsi="Arial" w:cs="Arial"/>
                <w:sz w:val="18"/>
                <w:szCs w:val="18"/>
                <w:lang w:eastAsia="en-US"/>
              </w:rPr>
              <w:br/>
              <w:t>Secondary Category: MRI: Technical and Advanced Applications</w:t>
            </w:r>
          </w:p>
        </w:tc>
      </w:tr>
      <w:tr w:rsidR="00E50211" w:rsidRPr="00E50211" w:rsidTr="00E50211">
        <w:trPr>
          <w:tblCellSpacing w:w="0" w:type="dxa"/>
          <w:jc w:val="center"/>
        </w:trPr>
        <w:tc>
          <w:tcPr>
            <w:tcW w:w="0" w:type="auto"/>
            <w:gridSpan w:val="2"/>
            <w:shd w:val="clear" w:color="auto" w:fill="FFFFFF"/>
            <w:vAlign w:val="center"/>
            <w:hideMark/>
          </w:tcPr>
          <w:p w:rsidR="00E50211" w:rsidRPr="00E50211" w:rsidRDefault="00E50211" w:rsidP="00E50211">
            <w:pPr>
              <w:spacing w:after="0" w:line="240" w:lineRule="auto"/>
              <w:rPr>
                <w:rFonts w:ascii="Arial" w:eastAsia="Times New Roman" w:hAnsi="Arial" w:cs="Arial"/>
                <w:b/>
                <w:bCs/>
                <w:sz w:val="18"/>
                <w:szCs w:val="18"/>
                <w:lang w:eastAsia="en-US"/>
              </w:rPr>
            </w:pPr>
            <w:r w:rsidRPr="00E50211">
              <w:rPr>
                <w:rFonts w:ascii="Arial" w:eastAsia="Times New Roman" w:hAnsi="Arial" w:cs="Arial"/>
                <w:b/>
                <w:bCs/>
                <w:sz w:val="18"/>
                <w:szCs w:val="18"/>
                <w:lang w:eastAsia="en-US"/>
              </w:rPr>
              <w:t>Low-dose Imaging Technique (LITE) MRI: Introduction of a reduced-dosage dynamic contrast enhanced MRI technique in breast imaging.</w:t>
            </w:r>
          </w:p>
        </w:tc>
      </w:tr>
      <w:tr w:rsidR="00E50211" w:rsidRPr="00E50211" w:rsidTr="00E50211">
        <w:trPr>
          <w:tblCellSpacing w:w="0" w:type="dxa"/>
          <w:jc w:val="center"/>
        </w:trPr>
        <w:tc>
          <w:tcPr>
            <w:tcW w:w="0" w:type="auto"/>
            <w:gridSpan w:val="2"/>
            <w:shd w:val="clear" w:color="auto" w:fill="FFFFFF"/>
            <w:vAlign w:val="center"/>
            <w:hideMark/>
          </w:tcPr>
          <w:p w:rsidR="00E50211" w:rsidRPr="00E50211" w:rsidRDefault="00E50211" w:rsidP="00E50211">
            <w:pPr>
              <w:spacing w:after="0" w:line="240" w:lineRule="auto"/>
              <w:rPr>
                <w:rFonts w:ascii="Arial" w:eastAsia="Times New Roman" w:hAnsi="Arial" w:cs="Arial"/>
                <w:sz w:val="18"/>
                <w:szCs w:val="18"/>
                <w:lang w:eastAsia="en-US"/>
              </w:rPr>
            </w:pPr>
            <w:r w:rsidRPr="00E50211">
              <w:rPr>
                <w:rFonts w:ascii="Arial" w:eastAsia="Times New Roman" w:hAnsi="Arial" w:cs="Arial"/>
                <w:i/>
                <w:iCs/>
                <w:sz w:val="18"/>
                <w:szCs w:val="18"/>
                <w:lang w:eastAsia="en-US"/>
              </w:rPr>
              <w:t xml:space="preserve">D </w:t>
            </w:r>
            <w:proofErr w:type="spellStart"/>
            <w:r w:rsidRPr="00E50211">
              <w:rPr>
                <w:rFonts w:ascii="Arial" w:eastAsia="Times New Roman" w:hAnsi="Arial" w:cs="Arial"/>
                <w:i/>
                <w:iCs/>
                <w:sz w:val="18"/>
                <w:szCs w:val="18"/>
                <w:lang w:eastAsia="en-US"/>
              </w:rPr>
              <w:t>Sheth</w:t>
            </w:r>
            <w:proofErr w:type="spellEnd"/>
            <w:r w:rsidRPr="00E50211">
              <w:rPr>
                <w:rFonts w:ascii="Arial" w:eastAsia="Times New Roman" w:hAnsi="Arial" w:cs="Arial"/>
                <w:i/>
                <w:iCs/>
                <w:sz w:val="18"/>
                <w:szCs w:val="18"/>
                <w:lang w:eastAsia="en-US"/>
              </w:rPr>
              <w:t xml:space="preserve">, MD, Chicago, IL; F Pineda, PhD; G S </w:t>
            </w:r>
            <w:proofErr w:type="spellStart"/>
            <w:r w:rsidRPr="00E50211">
              <w:rPr>
                <w:rFonts w:ascii="Arial" w:eastAsia="Times New Roman" w:hAnsi="Arial" w:cs="Arial"/>
                <w:i/>
                <w:iCs/>
                <w:sz w:val="18"/>
                <w:szCs w:val="18"/>
                <w:lang w:eastAsia="en-US"/>
              </w:rPr>
              <w:t>Karczmar</w:t>
            </w:r>
            <w:proofErr w:type="spellEnd"/>
            <w:r w:rsidRPr="00E50211">
              <w:rPr>
                <w:rFonts w:ascii="Arial" w:eastAsia="Times New Roman" w:hAnsi="Arial" w:cs="Arial"/>
                <w:i/>
                <w:iCs/>
                <w:sz w:val="18"/>
                <w:szCs w:val="18"/>
                <w:lang w:eastAsia="en-US"/>
              </w:rPr>
              <w:t>, PhD; H Abe, MD (dsheth@radiology.bsd.uchicago.edu)</w:t>
            </w:r>
          </w:p>
        </w:tc>
      </w:tr>
      <w:tr w:rsidR="00E50211" w:rsidRPr="00E50211" w:rsidTr="00E50211">
        <w:trPr>
          <w:tblCellSpacing w:w="0" w:type="dxa"/>
          <w:jc w:val="center"/>
        </w:trPr>
        <w:tc>
          <w:tcPr>
            <w:tcW w:w="0" w:type="auto"/>
            <w:gridSpan w:val="2"/>
            <w:shd w:val="clear" w:color="auto" w:fill="FFFFFF"/>
            <w:vAlign w:val="center"/>
            <w:hideMark/>
          </w:tcPr>
          <w:p w:rsidR="00E50211" w:rsidRPr="00E50211" w:rsidRDefault="00E50211" w:rsidP="00E50211">
            <w:pPr>
              <w:spacing w:after="0" w:line="240" w:lineRule="auto"/>
              <w:rPr>
                <w:rFonts w:ascii="Arial" w:eastAsia="Times New Roman" w:hAnsi="Arial" w:cs="Arial"/>
                <w:sz w:val="18"/>
                <w:szCs w:val="18"/>
                <w:lang w:eastAsia="en-US"/>
              </w:rPr>
            </w:pPr>
            <w:r w:rsidRPr="00E50211">
              <w:rPr>
                <w:rFonts w:ascii="Arial" w:eastAsia="Times New Roman" w:hAnsi="Arial" w:cs="Arial"/>
                <w:b/>
                <w:bCs/>
                <w:sz w:val="18"/>
                <w:szCs w:val="18"/>
                <w:lang w:eastAsia="en-US"/>
              </w:rPr>
              <w:t>PURPOSE</w:t>
            </w:r>
          </w:p>
        </w:tc>
      </w:tr>
      <w:tr w:rsidR="00E50211" w:rsidRPr="00E50211" w:rsidTr="00E50211">
        <w:trPr>
          <w:tblCellSpacing w:w="0" w:type="dxa"/>
          <w:jc w:val="center"/>
        </w:trPr>
        <w:tc>
          <w:tcPr>
            <w:tcW w:w="0" w:type="auto"/>
            <w:gridSpan w:val="2"/>
            <w:shd w:val="clear" w:color="auto" w:fill="FFFFFF"/>
            <w:vAlign w:val="center"/>
            <w:hideMark/>
          </w:tcPr>
          <w:p w:rsidR="00E50211" w:rsidRPr="00E50211" w:rsidRDefault="00E50211" w:rsidP="00E50211">
            <w:pPr>
              <w:spacing w:after="100" w:afterAutospacing="1" w:line="240" w:lineRule="auto"/>
              <w:ind w:left="45"/>
              <w:rPr>
                <w:rFonts w:ascii="Arial" w:eastAsia="Times New Roman" w:hAnsi="Arial" w:cs="Arial"/>
                <w:sz w:val="18"/>
                <w:szCs w:val="18"/>
                <w:lang w:eastAsia="en-US"/>
              </w:rPr>
            </w:pPr>
            <w:r w:rsidRPr="00E50211">
              <w:rPr>
                <w:rFonts w:ascii="Arial" w:eastAsia="Times New Roman" w:hAnsi="Arial" w:cs="Arial"/>
                <w:sz w:val="18"/>
                <w:szCs w:val="18"/>
                <w:lang w:eastAsia="en-US"/>
              </w:rPr>
              <w:t>To evaluate the diagnostic equivalency of a reduced-dosage dynamic contrast enhanced (DCE) breast MRI technique to standard-dosage utilizing a novel dual-dose injection protocol.</w:t>
            </w:r>
          </w:p>
        </w:tc>
      </w:tr>
      <w:tr w:rsidR="00E50211" w:rsidRPr="00E50211" w:rsidTr="00E50211">
        <w:trPr>
          <w:tblCellSpacing w:w="0" w:type="dxa"/>
          <w:jc w:val="center"/>
        </w:trPr>
        <w:tc>
          <w:tcPr>
            <w:tcW w:w="0" w:type="auto"/>
            <w:gridSpan w:val="2"/>
            <w:shd w:val="clear" w:color="auto" w:fill="FFFFFF"/>
            <w:vAlign w:val="center"/>
            <w:hideMark/>
          </w:tcPr>
          <w:p w:rsidR="00E50211" w:rsidRPr="00E50211" w:rsidRDefault="00E50211" w:rsidP="00E50211">
            <w:pPr>
              <w:spacing w:after="0" w:line="240" w:lineRule="auto"/>
              <w:rPr>
                <w:rFonts w:ascii="Arial" w:eastAsia="Times New Roman" w:hAnsi="Arial" w:cs="Arial"/>
                <w:sz w:val="18"/>
                <w:szCs w:val="18"/>
                <w:lang w:eastAsia="en-US"/>
              </w:rPr>
            </w:pPr>
            <w:r w:rsidRPr="00E50211">
              <w:rPr>
                <w:rFonts w:ascii="Arial" w:eastAsia="Times New Roman" w:hAnsi="Arial" w:cs="Arial"/>
                <w:sz w:val="18"/>
                <w:szCs w:val="18"/>
                <w:lang w:eastAsia="en-US"/>
              </w:rPr>
              <w:t> </w:t>
            </w:r>
          </w:p>
        </w:tc>
      </w:tr>
      <w:tr w:rsidR="00E50211" w:rsidRPr="00E50211" w:rsidTr="00E50211">
        <w:trPr>
          <w:tblCellSpacing w:w="0" w:type="dxa"/>
          <w:jc w:val="center"/>
        </w:trPr>
        <w:tc>
          <w:tcPr>
            <w:tcW w:w="0" w:type="auto"/>
            <w:gridSpan w:val="2"/>
            <w:shd w:val="clear" w:color="auto" w:fill="FFFFFF"/>
            <w:vAlign w:val="center"/>
            <w:hideMark/>
          </w:tcPr>
          <w:p w:rsidR="00E50211" w:rsidRPr="00E50211" w:rsidRDefault="00E50211" w:rsidP="00E50211">
            <w:pPr>
              <w:spacing w:after="0" w:line="240" w:lineRule="auto"/>
              <w:rPr>
                <w:rFonts w:ascii="Arial" w:eastAsia="Times New Roman" w:hAnsi="Arial" w:cs="Arial"/>
                <w:sz w:val="18"/>
                <w:szCs w:val="18"/>
                <w:lang w:eastAsia="en-US"/>
              </w:rPr>
            </w:pPr>
            <w:r w:rsidRPr="00E50211">
              <w:rPr>
                <w:rFonts w:ascii="Arial" w:eastAsia="Times New Roman" w:hAnsi="Arial" w:cs="Arial"/>
                <w:b/>
                <w:bCs/>
                <w:sz w:val="18"/>
                <w:szCs w:val="18"/>
                <w:lang w:eastAsia="en-US"/>
              </w:rPr>
              <w:t>METHOD AND MATERIALS</w:t>
            </w:r>
          </w:p>
        </w:tc>
      </w:tr>
      <w:tr w:rsidR="00E50211" w:rsidRPr="00E50211" w:rsidTr="00E50211">
        <w:trPr>
          <w:tblCellSpacing w:w="0" w:type="dxa"/>
          <w:jc w:val="center"/>
        </w:trPr>
        <w:tc>
          <w:tcPr>
            <w:tcW w:w="0" w:type="auto"/>
            <w:gridSpan w:val="2"/>
            <w:shd w:val="clear" w:color="auto" w:fill="FFFFFF"/>
            <w:vAlign w:val="center"/>
            <w:hideMark/>
          </w:tcPr>
          <w:p w:rsidR="00E50211" w:rsidRPr="00E50211" w:rsidRDefault="00E50211" w:rsidP="00E50211">
            <w:pPr>
              <w:spacing w:after="100" w:afterAutospacing="1" w:line="240" w:lineRule="auto"/>
              <w:ind w:left="45"/>
              <w:rPr>
                <w:rFonts w:ascii="Arial" w:eastAsia="Times New Roman" w:hAnsi="Arial" w:cs="Arial"/>
                <w:sz w:val="18"/>
                <w:szCs w:val="18"/>
                <w:lang w:eastAsia="en-US"/>
              </w:rPr>
            </w:pPr>
            <w:r w:rsidRPr="00E50211">
              <w:rPr>
                <w:rFonts w:ascii="Arial" w:eastAsia="Times New Roman" w:hAnsi="Arial" w:cs="Arial"/>
                <w:sz w:val="18"/>
                <w:szCs w:val="18"/>
                <w:lang w:eastAsia="en-US"/>
              </w:rPr>
              <w:t>Between October 2017 and April 2018, six patients (age range: 18-60) with a total of eight lesions (lesion size range: 0.5-2.0 cm as measured on ultrasound) with imaging features suggestive of a fibroadenoma were imaged. All lesions were ultimately either biopsy-proven or clinically-confirmed to be benign. Each patient underwent an IRB-approved dynamic contrast-enhanced MRI scan utilizing a novel dual-dose injection protocol. Pre-contrast scans including T2-weighted scans and high temporal resolutions scans were obtained. Next, 15% of the contrast was administered with post-contrast imaging including: standard T1 weighted scans and high temporal resolution scans. Approximately 10 minutes later, 85% of the contrast was administered with repeat post-contrast imaging similar to prior. Two radiologists reviewed the low-dose MR images and high-dose MR images to evaluate for: lesion conspicuity, imaging characteristics and enhancement kinetics. </w:t>
            </w:r>
          </w:p>
        </w:tc>
      </w:tr>
      <w:tr w:rsidR="00E50211" w:rsidRPr="00E50211" w:rsidTr="00E50211">
        <w:trPr>
          <w:tblCellSpacing w:w="0" w:type="dxa"/>
          <w:jc w:val="center"/>
        </w:trPr>
        <w:tc>
          <w:tcPr>
            <w:tcW w:w="0" w:type="auto"/>
            <w:gridSpan w:val="2"/>
            <w:shd w:val="clear" w:color="auto" w:fill="FFFFFF"/>
            <w:vAlign w:val="center"/>
            <w:hideMark/>
          </w:tcPr>
          <w:p w:rsidR="00E50211" w:rsidRPr="00E50211" w:rsidRDefault="00E50211" w:rsidP="00E50211">
            <w:pPr>
              <w:spacing w:after="0" w:line="240" w:lineRule="auto"/>
              <w:rPr>
                <w:rFonts w:ascii="Arial" w:eastAsia="Times New Roman" w:hAnsi="Arial" w:cs="Arial"/>
                <w:sz w:val="18"/>
                <w:szCs w:val="18"/>
                <w:lang w:eastAsia="en-US"/>
              </w:rPr>
            </w:pPr>
            <w:r w:rsidRPr="00E50211">
              <w:rPr>
                <w:rFonts w:ascii="Arial" w:eastAsia="Times New Roman" w:hAnsi="Arial" w:cs="Arial"/>
                <w:sz w:val="18"/>
                <w:szCs w:val="18"/>
                <w:lang w:eastAsia="en-US"/>
              </w:rPr>
              <w:t> </w:t>
            </w:r>
          </w:p>
        </w:tc>
      </w:tr>
      <w:tr w:rsidR="00E50211" w:rsidRPr="00E50211" w:rsidTr="00E50211">
        <w:trPr>
          <w:tblCellSpacing w:w="0" w:type="dxa"/>
          <w:jc w:val="center"/>
        </w:trPr>
        <w:tc>
          <w:tcPr>
            <w:tcW w:w="0" w:type="auto"/>
            <w:gridSpan w:val="2"/>
            <w:shd w:val="clear" w:color="auto" w:fill="FFFFFF"/>
            <w:vAlign w:val="center"/>
            <w:hideMark/>
          </w:tcPr>
          <w:p w:rsidR="00E50211" w:rsidRPr="00E50211" w:rsidRDefault="00E50211" w:rsidP="00E50211">
            <w:pPr>
              <w:spacing w:after="0" w:line="240" w:lineRule="auto"/>
              <w:rPr>
                <w:rFonts w:ascii="Arial" w:eastAsia="Times New Roman" w:hAnsi="Arial" w:cs="Arial"/>
                <w:sz w:val="18"/>
                <w:szCs w:val="18"/>
                <w:lang w:eastAsia="en-US"/>
              </w:rPr>
            </w:pPr>
            <w:r w:rsidRPr="00E50211">
              <w:rPr>
                <w:rFonts w:ascii="Arial" w:eastAsia="Times New Roman" w:hAnsi="Arial" w:cs="Arial"/>
                <w:b/>
                <w:bCs/>
                <w:sz w:val="18"/>
                <w:szCs w:val="18"/>
                <w:lang w:eastAsia="en-US"/>
              </w:rPr>
              <w:t>RESULTS</w:t>
            </w:r>
          </w:p>
        </w:tc>
      </w:tr>
      <w:tr w:rsidR="00E50211" w:rsidRPr="00E50211" w:rsidTr="00E50211">
        <w:trPr>
          <w:tblCellSpacing w:w="0" w:type="dxa"/>
          <w:jc w:val="center"/>
        </w:trPr>
        <w:tc>
          <w:tcPr>
            <w:tcW w:w="0" w:type="auto"/>
            <w:gridSpan w:val="2"/>
            <w:shd w:val="clear" w:color="auto" w:fill="FFFFFF"/>
            <w:vAlign w:val="center"/>
            <w:hideMark/>
          </w:tcPr>
          <w:p w:rsidR="00E50211" w:rsidRPr="00E50211" w:rsidRDefault="00E50211" w:rsidP="00E50211">
            <w:pPr>
              <w:spacing w:after="100" w:afterAutospacing="1" w:line="240" w:lineRule="auto"/>
              <w:ind w:left="45"/>
              <w:rPr>
                <w:rFonts w:ascii="Arial" w:eastAsia="Times New Roman" w:hAnsi="Arial" w:cs="Arial"/>
                <w:sz w:val="18"/>
                <w:szCs w:val="18"/>
                <w:lang w:eastAsia="en-US"/>
              </w:rPr>
            </w:pPr>
            <w:r w:rsidRPr="00E50211">
              <w:rPr>
                <w:rFonts w:ascii="Arial" w:eastAsia="Times New Roman" w:hAnsi="Arial" w:cs="Arial"/>
                <w:sz w:val="18"/>
                <w:szCs w:val="18"/>
                <w:lang w:eastAsia="en-US"/>
              </w:rPr>
              <w:t xml:space="preserve">In all 8 out of 8 lesions, there was concordance between the low-dose MR images and high-dose MR images in terms of lesion conspicuity and imaging characteristics. While the ratio of the contrast doses administered was roughly 0.18, this was not reflected in the ratios of kinetic parameters. The uptake rate ratio (low-to-high dose) was 1.30 ± </w:t>
            </w:r>
            <w:proofErr w:type="gramStart"/>
            <w:r w:rsidRPr="00E50211">
              <w:rPr>
                <w:rFonts w:ascii="Arial" w:eastAsia="Times New Roman" w:hAnsi="Arial" w:cs="Arial"/>
                <w:sz w:val="18"/>
                <w:szCs w:val="18"/>
                <w:lang w:eastAsia="en-US"/>
              </w:rPr>
              <w:t>0.39,</w:t>
            </w:r>
            <w:proofErr w:type="gramEnd"/>
            <w:r w:rsidRPr="00E50211">
              <w:rPr>
                <w:rFonts w:ascii="Arial" w:eastAsia="Times New Roman" w:hAnsi="Arial" w:cs="Arial"/>
                <w:sz w:val="18"/>
                <w:szCs w:val="18"/>
                <w:lang w:eastAsia="en-US"/>
              </w:rPr>
              <w:t xml:space="preserve"> upper limit of enhancement had a 0.31 ± 0.06 ratio, and 0.35 ± 0.06 for initial area under the uptake curve. Rates of initial uptake measured with low-dose MRI were uniformly and significantly greater than rates measured by the high-dose MRI. Lesion time-to-enhancement was similar for both doses, with a ratio of 0.91 ± 0.06. Lesion conspicuity was measured as the ratio of the signal increase in the lesion to the signal increase in the surrounding parenchyma. The average lesion conspicuity over the first minute of enhancement had a low-to-high dose ratio of 1.87 ± 0.99.</w:t>
            </w:r>
          </w:p>
        </w:tc>
      </w:tr>
      <w:tr w:rsidR="00E50211" w:rsidRPr="00E50211" w:rsidTr="00E50211">
        <w:trPr>
          <w:tblCellSpacing w:w="0" w:type="dxa"/>
          <w:jc w:val="center"/>
        </w:trPr>
        <w:tc>
          <w:tcPr>
            <w:tcW w:w="0" w:type="auto"/>
            <w:gridSpan w:val="2"/>
            <w:shd w:val="clear" w:color="auto" w:fill="FFFFFF"/>
            <w:vAlign w:val="center"/>
            <w:hideMark/>
          </w:tcPr>
          <w:p w:rsidR="00E50211" w:rsidRPr="00E50211" w:rsidRDefault="00E50211" w:rsidP="00E50211">
            <w:pPr>
              <w:spacing w:after="0" w:line="240" w:lineRule="auto"/>
              <w:rPr>
                <w:rFonts w:ascii="Arial" w:eastAsia="Times New Roman" w:hAnsi="Arial" w:cs="Arial"/>
                <w:sz w:val="18"/>
                <w:szCs w:val="18"/>
                <w:lang w:eastAsia="en-US"/>
              </w:rPr>
            </w:pPr>
            <w:r w:rsidRPr="00E50211">
              <w:rPr>
                <w:rFonts w:ascii="Arial" w:eastAsia="Times New Roman" w:hAnsi="Arial" w:cs="Arial"/>
                <w:sz w:val="18"/>
                <w:szCs w:val="18"/>
                <w:lang w:eastAsia="en-US"/>
              </w:rPr>
              <w:t> </w:t>
            </w:r>
          </w:p>
        </w:tc>
      </w:tr>
      <w:tr w:rsidR="00E50211" w:rsidRPr="00E50211" w:rsidTr="00E50211">
        <w:trPr>
          <w:tblCellSpacing w:w="0" w:type="dxa"/>
          <w:jc w:val="center"/>
        </w:trPr>
        <w:tc>
          <w:tcPr>
            <w:tcW w:w="0" w:type="auto"/>
            <w:gridSpan w:val="2"/>
            <w:shd w:val="clear" w:color="auto" w:fill="FFFFFF"/>
            <w:vAlign w:val="center"/>
            <w:hideMark/>
          </w:tcPr>
          <w:p w:rsidR="00E50211" w:rsidRPr="00E50211" w:rsidRDefault="00E50211" w:rsidP="00E50211">
            <w:pPr>
              <w:spacing w:after="0" w:line="240" w:lineRule="auto"/>
              <w:rPr>
                <w:rFonts w:ascii="Arial" w:eastAsia="Times New Roman" w:hAnsi="Arial" w:cs="Arial"/>
                <w:sz w:val="18"/>
                <w:szCs w:val="18"/>
                <w:lang w:eastAsia="en-US"/>
              </w:rPr>
            </w:pPr>
            <w:r w:rsidRPr="00E50211">
              <w:rPr>
                <w:rFonts w:ascii="Arial" w:eastAsia="Times New Roman" w:hAnsi="Arial" w:cs="Arial"/>
                <w:b/>
                <w:bCs/>
                <w:sz w:val="18"/>
                <w:szCs w:val="18"/>
                <w:lang w:eastAsia="en-US"/>
              </w:rPr>
              <w:t>CONCLUSION</w:t>
            </w:r>
          </w:p>
        </w:tc>
      </w:tr>
      <w:tr w:rsidR="00E50211" w:rsidRPr="00E50211" w:rsidTr="00E50211">
        <w:trPr>
          <w:tblCellSpacing w:w="0" w:type="dxa"/>
          <w:jc w:val="center"/>
        </w:trPr>
        <w:tc>
          <w:tcPr>
            <w:tcW w:w="0" w:type="auto"/>
            <w:gridSpan w:val="2"/>
            <w:shd w:val="clear" w:color="auto" w:fill="FFFFFF"/>
            <w:vAlign w:val="center"/>
            <w:hideMark/>
          </w:tcPr>
          <w:p w:rsidR="00E50211" w:rsidRPr="00E50211" w:rsidRDefault="00E50211" w:rsidP="00E50211">
            <w:pPr>
              <w:spacing w:after="100" w:afterAutospacing="1" w:line="240" w:lineRule="auto"/>
              <w:ind w:left="45"/>
              <w:rPr>
                <w:rFonts w:ascii="Arial" w:eastAsia="Times New Roman" w:hAnsi="Arial" w:cs="Arial"/>
                <w:sz w:val="18"/>
                <w:szCs w:val="18"/>
                <w:lang w:eastAsia="en-US"/>
              </w:rPr>
            </w:pPr>
            <w:r w:rsidRPr="00E50211">
              <w:rPr>
                <w:rFonts w:ascii="Arial" w:eastAsia="Times New Roman" w:hAnsi="Arial" w:cs="Arial"/>
                <w:sz w:val="18"/>
                <w:szCs w:val="18"/>
                <w:lang w:eastAsia="en-US"/>
              </w:rPr>
              <w:t>This preliminary study demonstrates that LITE MRI has the potential to be diagnostically equivalent to standard DCE MRI in breast imaging.</w:t>
            </w:r>
          </w:p>
        </w:tc>
      </w:tr>
      <w:tr w:rsidR="00E50211" w:rsidRPr="00E50211" w:rsidTr="00E50211">
        <w:trPr>
          <w:tblCellSpacing w:w="0" w:type="dxa"/>
          <w:jc w:val="center"/>
        </w:trPr>
        <w:tc>
          <w:tcPr>
            <w:tcW w:w="0" w:type="auto"/>
            <w:gridSpan w:val="2"/>
            <w:shd w:val="clear" w:color="auto" w:fill="FFFFFF"/>
            <w:vAlign w:val="center"/>
            <w:hideMark/>
          </w:tcPr>
          <w:p w:rsidR="00E50211" w:rsidRPr="00E50211" w:rsidRDefault="00E50211" w:rsidP="00E50211">
            <w:pPr>
              <w:spacing w:after="0" w:line="240" w:lineRule="auto"/>
              <w:rPr>
                <w:rFonts w:ascii="Arial" w:eastAsia="Times New Roman" w:hAnsi="Arial" w:cs="Arial"/>
                <w:sz w:val="18"/>
                <w:szCs w:val="18"/>
                <w:lang w:eastAsia="en-US"/>
              </w:rPr>
            </w:pPr>
            <w:r w:rsidRPr="00E50211">
              <w:rPr>
                <w:rFonts w:ascii="Arial" w:eastAsia="Times New Roman" w:hAnsi="Arial" w:cs="Arial"/>
                <w:sz w:val="18"/>
                <w:szCs w:val="18"/>
                <w:lang w:eastAsia="en-US"/>
              </w:rPr>
              <w:lastRenderedPageBreak/>
              <w:t> </w:t>
            </w:r>
          </w:p>
        </w:tc>
      </w:tr>
      <w:tr w:rsidR="00E50211" w:rsidRPr="00E50211" w:rsidTr="00E50211">
        <w:trPr>
          <w:tblCellSpacing w:w="0" w:type="dxa"/>
          <w:jc w:val="center"/>
        </w:trPr>
        <w:tc>
          <w:tcPr>
            <w:tcW w:w="0" w:type="auto"/>
            <w:gridSpan w:val="2"/>
            <w:shd w:val="clear" w:color="auto" w:fill="FFFFFF"/>
            <w:vAlign w:val="center"/>
            <w:hideMark/>
          </w:tcPr>
          <w:p w:rsidR="00E50211" w:rsidRPr="00E50211" w:rsidRDefault="00E50211" w:rsidP="00E50211">
            <w:pPr>
              <w:spacing w:after="0" w:line="240" w:lineRule="auto"/>
              <w:rPr>
                <w:rFonts w:ascii="Arial" w:eastAsia="Times New Roman" w:hAnsi="Arial" w:cs="Arial"/>
                <w:sz w:val="18"/>
                <w:szCs w:val="18"/>
                <w:lang w:eastAsia="en-US"/>
              </w:rPr>
            </w:pPr>
            <w:r w:rsidRPr="00E50211">
              <w:rPr>
                <w:rFonts w:ascii="Arial" w:eastAsia="Times New Roman" w:hAnsi="Arial" w:cs="Arial"/>
                <w:b/>
                <w:bCs/>
                <w:sz w:val="18"/>
                <w:szCs w:val="18"/>
                <w:lang w:eastAsia="en-US"/>
              </w:rPr>
              <w:t>CLINICAL RELEVANCE/APPLICATION</w:t>
            </w:r>
          </w:p>
        </w:tc>
      </w:tr>
      <w:tr w:rsidR="00E50211" w:rsidRPr="00E50211" w:rsidTr="00E50211">
        <w:trPr>
          <w:tblCellSpacing w:w="0" w:type="dxa"/>
          <w:jc w:val="center"/>
        </w:trPr>
        <w:tc>
          <w:tcPr>
            <w:tcW w:w="0" w:type="auto"/>
            <w:gridSpan w:val="2"/>
            <w:shd w:val="clear" w:color="auto" w:fill="FFFFFF"/>
            <w:vAlign w:val="center"/>
            <w:hideMark/>
          </w:tcPr>
          <w:p w:rsidR="00E50211" w:rsidRPr="00E50211" w:rsidRDefault="00E50211" w:rsidP="00E50211">
            <w:pPr>
              <w:spacing w:after="100" w:afterAutospacing="1" w:line="240" w:lineRule="auto"/>
              <w:ind w:left="45"/>
              <w:rPr>
                <w:rFonts w:ascii="Arial" w:eastAsia="Times New Roman" w:hAnsi="Arial" w:cs="Arial"/>
                <w:sz w:val="18"/>
                <w:szCs w:val="18"/>
                <w:lang w:eastAsia="en-US"/>
              </w:rPr>
            </w:pPr>
            <w:r w:rsidRPr="00E50211">
              <w:rPr>
                <w:rFonts w:ascii="Arial" w:eastAsia="Times New Roman" w:hAnsi="Arial" w:cs="Arial"/>
                <w:sz w:val="18"/>
                <w:szCs w:val="18"/>
                <w:lang w:eastAsia="en-US"/>
              </w:rPr>
              <w:t>Low-dose imaging technique (LITE) MRI can be a promising alternative to standard-dose breast MRI, particularly with recent concerns related to gadolinium deposition.</w:t>
            </w:r>
          </w:p>
        </w:tc>
      </w:tr>
      <w:tr w:rsidR="00E50211" w:rsidRPr="00E50211" w:rsidTr="00E50211">
        <w:trPr>
          <w:tblCellSpacing w:w="0" w:type="dxa"/>
          <w:jc w:val="center"/>
        </w:trPr>
        <w:tc>
          <w:tcPr>
            <w:tcW w:w="0" w:type="auto"/>
            <w:gridSpan w:val="2"/>
            <w:shd w:val="clear" w:color="auto" w:fill="FFFFFF"/>
            <w:vAlign w:val="center"/>
            <w:hideMark/>
          </w:tcPr>
          <w:p w:rsidR="00E50211" w:rsidRPr="00E50211" w:rsidRDefault="00E50211" w:rsidP="00E50211">
            <w:pPr>
              <w:spacing w:after="0" w:line="240" w:lineRule="auto"/>
              <w:rPr>
                <w:rFonts w:ascii="Arial" w:eastAsia="Times New Roman" w:hAnsi="Arial" w:cs="Arial"/>
                <w:sz w:val="18"/>
                <w:szCs w:val="18"/>
                <w:lang w:eastAsia="en-US"/>
              </w:rPr>
            </w:pPr>
            <w:r w:rsidRPr="00E50211">
              <w:rPr>
                <w:rFonts w:ascii="Arial" w:eastAsia="Times New Roman" w:hAnsi="Arial" w:cs="Arial"/>
                <w:sz w:val="18"/>
                <w:szCs w:val="18"/>
                <w:lang w:eastAsia="en-US"/>
              </w:rPr>
              <w:t> </w:t>
            </w:r>
          </w:p>
        </w:tc>
      </w:tr>
      <w:tr w:rsidR="00E50211" w:rsidRPr="00E50211" w:rsidTr="00E50211">
        <w:trPr>
          <w:tblCellSpacing w:w="0" w:type="dxa"/>
          <w:jc w:val="center"/>
        </w:trPr>
        <w:tc>
          <w:tcPr>
            <w:tcW w:w="0" w:type="auto"/>
            <w:gridSpan w:val="2"/>
            <w:shd w:val="clear" w:color="auto" w:fill="FFFFFF"/>
            <w:vAlign w:val="center"/>
            <w:hideMark/>
          </w:tcPr>
          <w:p w:rsidR="00E50211" w:rsidRPr="00E50211" w:rsidRDefault="00E50211" w:rsidP="00E50211">
            <w:pPr>
              <w:spacing w:after="0" w:line="240" w:lineRule="auto"/>
              <w:rPr>
                <w:rFonts w:ascii="Arial" w:eastAsia="Times New Roman" w:hAnsi="Arial" w:cs="Arial"/>
                <w:sz w:val="18"/>
                <w:szCs w:val="18"/>
                <w:lang w:eastAsia="en-US"/>
              </w:rPr>
            </w:pPr>
            <w:r w:rsidRPr="00E50211">
              <w:rPr>
                <w:rFonts w:ascii="Arial" w:eastAsia="Times New Roman" w:hAnsi="Arial" w:cs="Arial"/>
                <w:b/>
                <w:bCs/>
                <w:sz w:val="18"/>
                <w:szCs w:val="18"/>
                <w:lang w:eastAsia="en-US"/>
              </w:rPr>
              <w:t>FIGURE (OPTIONAL)</w:t>
            </w:r>
          </w:p>
        </w:tc>
      </w:tr>
      <w:tr w:rsidR="00E50211" w:rsidRPr="00E50211" w:rsidTr="00E50211">
        <w:trPr>
          <w:tblCellSpacing w:w="0" w:type="dxa"/>
          <w:jc w:val="center"/>
        </w:trPr>
        <w:tc>
          <w:tcPr>
            <w:tcW w:w="0" w:type="auto"/>
            <w:gridSpan w:val="2"/>
            <w:shd w:val="clear" w:color="auto" w:fill="FFFFFF"/>
            <w:vAlign w:val="center"/>
            <w:hideMark/>
          </w:tcPr>
          <w:p w:rsidR="00E50211" w:rsidRPr="00E50211" w:rsidRDefault="00E50211" w:rsidP="00E50211">
            <w:pPr>
              <w:spacing w:after="0" w:line="240" w:lineRule="auto"/>
              <w:rPr>
                <w:rFonts w:ascii="Arial" w:eastAsia="Times New Roman" w:hAnsi="Arial" w:cs="Arial"/>
                <w:sz w:val="18"/>
                <w:szCs w:val="18"/>
                <w:lang w:eastAsia="en-US"/>
              </w:rPr>
            </w:pPr>
            <w:r w:rsidRPr="00E50211">
              <w:rPr>
                <w:rFonts w:ascii="Arial" w:eastAsia="Times New Roman" w:hAnsi="Arial" w:cs="Arial"/>
                <w:i/>
                <w:iCs/>
                <w:sz w:val="18"/>
                <w:szCs w:val="18"/>
                <w:lang w:eastAsia="en-US"/>
              </w:rPr>
              <w:t>Uploaded Image</w:t>
            </w:r>
          </w:p>
        </w:tc>
      </w:tr>
    </w:tbl>
    <w:p w:rsidR="00E50211" w:rsidRDefault="00E50211" w:rsidP="0085530B"/>
    <w:p w:rsidR="0085530B" w:rsidRDefault="0085530B" w:rsidP="00177F66">
      <w:pPr>
        <w:jc w:val="center"/>
        <w:rPr>
          <w:b/>
        </w:rPr>
      </w:pPr>
    </w:p>
    <w:p w:rsidR="0085530B" w:rsidRDefault="0085530B" w:rsidP="00177F66">
      <w:pPr>
        <w:jc w:val="center"/>
        <w:rPr>
          <w:b/>
        </w:rPr>
      </w:pPr>
    </w:p>
    <w:p w:rsidR="0085530B" w:rsidRDefault="0085530B" w:rsidP="00177F66">
      <w:pPr>
        <w:jc w:val="center"/>
        <w:rPr>
          <w:b/>
        </w:rPr>
      </w:pPr>
    </w:p>
    <w:p w:rsidR="0085530B" w:rsidRDefault="0085530B" w:rsidP="00177F66">
      <w:pPr>
        <w:jc w:val="center"/>
        <w:rPr>
          <w:b/>
        </w:rPr>
      </w:pPr>
    </w:p>
    <w:p w:rsidR="0085530B" w:rsidRDefault="0085530B" w:rsidP="00177F66">
      <w:pPr>
        <w:jc w:val="center"/>
        <w:rPr>
          <w:b/>
        </w:rPr>
      </w:pPr>
    </w:p>
    <w:p w:rsidR="0085530B" w:rsidRDefault="0085530B" w:rsidP="00177F66">
      <w:pPr>
        <w:jc w:val="center"/>
        <w:rPr>
          <w:b/>
        </w:rPr>
      </w:pPr>
    </w:p>
    <w:p w:rsidR="0085530B" w:rsidRDefault="0085530B" w:rsidP="00177F66">
      <w:pPr>
        <w:jc w:val="center"/>
        <w:rPr>
          <w:b/>
        </w:rPr>
      </w:pPr>
    </w:p>
    <w:p w:rsidR="0085530B" w:rsidRDefault="0085530B" w:rsidP="00177F66">
      <w:pPr>
        <w:jc w:val="center"/>
        <w:rPr>
          <w:b/>
        </w:rPr>
      </w:pPr>
    </w:p>
    <w:p w:rsidR="00C6306E" w:rsidRDefault="00C6306E" w:rsidP="00177F66">
      <w:pPr>
        <w:jc w:val="center"/>
      </w:pPr>
      <w:r w:rsidRPr="00214889">
        <w:rPr>
          <w:b/>
        </w:rPr>
        <w:t>L</w:t>
      </w:r>
      <w:r>
        <w:t xml:space="preserve">ow-dose </w:t>
      </w:r>
      <w:r w:rsidRPr="00214889">
        <w:rPr>
          <w:b/>
        </w:rPr>
        <w:t>I</w:t>
      </w:r>
      <w:r>
        <w:t xml:space="preserve">maging </w:t>
      </w:r>
      <w:r w:rsidRPr="00214889">
        <w:rPr>
          <w:b/>
        </w:rPr>
        <w:t>Te</w:t>
      </w:r>
      <w:r>
        <w:t>chnique (LITE) MRI: Introduction of a reduced-dosage dynamic contrast enhanced MRI</w:t>
      </w:r>
      <w:r w:rsidR="00681013">
        <w:t xml:space="preserve"> </w:t>
      </w:r>
      <w:r w:rsidR="00177F66">
        <w:t>technique</w:t>
      </w:r>
      <w:r>
        <w:t xml:space="preserve"> in breast imaging.</w:t>
      </w:r>
    </w:p>
    <w:p w:rsidR="00C6306E" w:rsidRDefault="00C6306E" w:rsidP="00177F66">
      <w:pPr>
        <w:jc w:val="center"/>
      </w:pPr>
      <w:r>
        <w:t xml:space="preserve">D. </w:t>
      </w:r>
      <w:proofErr w:type="spellStart"/>
      <w:r>
        <w:t>Sheth</w:t>
      </w:r>
      <w:proofErr w:type="spellEnd"/>
      <w:r>
        <w:t xml:space="preserve">, F Pineda, G </w:t>
      </w:r>
      <w:proofErr w:type="spellStart"/>
      <w:r>
        <w:t>Karczmar</w:t>
      </w:r>
      <w:proofErr w:type="spellEnd"/>
      <w:r>
        <w:t>, H Abe.</w:t>
      </w:r>
    </w:p>
    <w:p w:rsidR="00246EBF" w:rsidRDefault="00246EBF">
      <w:r>
        <w:t xml:space="preserve">Purpose: To evaluate </w:t>
      </w:r>
      <w:r w:rsidR="00887A79">
        <w:t xml:space="preserve">the </w:t>
      </w:r>
      <w:r>
        <w:t>diagnostic</w:t>
      </w:r>
      <w:r w:rsidR="00214889">
        <w:t xml:space="preserve"> equivalency of </w:t>
      </w:r>
      <w:r w:rsidR="00C6306E">
        <w:t xml:space="preserve">a reduced-dosage dynamic contrast enhanced (DCE) </w:t>
      </w:r>
      <w:r w:rsidR="00681013">
        <w:t xml:space="preserve">breast </w:t>
      </w:r>
      <w:r w:rsidR="00C6306E">
        <w:t xml:space="preserve">MRI </w:t>
      </w:r>
      <w:r w:rsidR="00177F66">
        <w:t>technique</w:t>
      </w:r>
      <w:r w:rsidR="00C6306E">
        <w:t xml:space="preserve"> to standard-dosage utilizing a novel dual-dose injection </w:t>
      </w:r>
      <w:r w:rsidR="00177F66">
        <w:t>protocol</w:t>
      </w:r>
      <w:r w:rsidR="00C6306E">
        <w:t>.</w:t>
      </w:r>
    </w:p>
    <w:p w:rsidR="008D6D1E" w:rsidRDefault="00246EBF">
      <w:r>
        <w:t xml:space="preserve">Methods and Materials: </w:t>
      </w:r>
      <w:r w:rsidR="008D6D1E">
        <w:t>Between October 2017 and April 2018, six patients (age range: 18-60) with a total of eight lesions (lesion size range: 0.5-2.0 cm as measured on ultrasound) with imaging features suggestive of a fibroadenoma were imaged. All lesions were ultimately either biopsy-proven or clinically</w:t>
      </w:r>
      <w:r w:rsidR="008D6D1E" w:rsidRPr="004609BF">
        <w:t xml:space="preserve">-confirmed </w:t>
      </w:r>
      <w:r w:rsidR="008D6D1E">
        <w:t xml:space="preserve">to be </w:t>
      </w:r>
      <w:r w:rsidR="008D6D1E" w:rsidRPr="004609BF">
        <w:t xml:space="preserve">benign. </w:t>
      </w:r>
      <w:r w:rsidR="008D6D1E">
        <w:t xml:space="preserve">Each patient underwent an IRB-approved dynamic contrast-enhanced MRI scan utilizing a novel dual-dose injection </w:t>
      </w:r>
      <w:r w:rsidR="00177F66">
        <w:t>protocol</w:t>
      </w:r>
      <w:r w:rsidR="008D6D1E">
        <w:t xml:space="preserve">. Pre-contrast scans including T2-weighted scans and high temporal resolutions scans were obtained. </w:t>
      </w:r>
      <w:r w:rsidR="00F0108D">
        <w:t>Next,</w:t>
      </w:r>
      <w:r w:rsidR="008D6D1E">
        <w:t xml:space="preserve"> 15% of the contrast was administered with post-contrast imaging including: standard T1 weighted scans and high temporal resolution scans. Approximately 10 minutes later, 85% of the contrast was administered with repeat post-contrast imaging similar to prior.  Two radiologists reviewed the low-dose </w:t>
      </w:r>
      <w:r>
        <w:t>MR images</w:t>
      </w:r>
      <w:r w:rsidR="008D6D1E">
        <w:t xml:space="preserve"> and </w:t>
      </w:r>
      <w:r w:rsidR="0085530B">
        <w:t>high</w:t>
      </w:r>
      <w:r w:rsidR="008D6D1E">
        <w:t>-dose MR images</w:t>
      </w:r>
      <w:r>
        <w:t xml:space="preserve"> to </w:t>
      </w:r>
      <w:r w:rsidR="008D6D1E">
        <w:t xml:space="preserve">evaluate for: lesion </w:t>
      </w:r>
      <w:r w:rsidR="00177F66">
        <w:t>conspicuity</w:t>
      </w:r>
      <w:r w:rsidR="008D6D1E">
        <w:t xml:space="preserve">, imaging </w:t>
      </w:r>
      <w:r w:rsidR="00177F66">
        <w:t>characteristics</w:t>
      </w:r>
      <w:r w:rsidR="008D6D1E">
        <w:t xml:space="preserve"> and enhancement kinetics. </w:t>
      </w:r>
    </w:p>
    <w:p w:rsidR="007D08DE" w:rsidRDefault="00246EBF">
      <w:r>
        <w:t xml:space="preserve">Results: </w:t>
      </w:r>
      <w:r w:rsidR="008D6D1E">
        <w:t xml:space="preserve">In all 8 out of 8 lesions, there was concordance between the low-dose MR images and high-dose MR images in terms of lesion </w:t>
      </w:r>
      <w:r w:rsidR="00177F66">
        <w:t>conspicuity</w:t>
      </w:r>
      <w:r w:rsidR="00887A79">
        <w:t xml:space="preserve"> and imaging </w:t>
      </w:r>
      <w:r w:rsidR="00177F66">
        <w:t>characteristics</w:t>
      </w:r>
      <w:r w:rsidR="00887A79">
        <w:t xml:space="preserve">. </w:t>
      </w:r>
      <w:r w:rsidR="007D08DE">
        <w:rPr>
          <w:rFonts w:ascii="Calibri" w:hAnsi="Calibri"/>
          <w:color w:val="000000"/>
        </w:rPr>
        <w:t xml:space="preserve">While the ratio of the contrast doses administered was roughly 0.18, this was not reflected in the ratios of kinetic parameters. The uptake rate ratio (low-to-high dose) was 1.30 ± </w:t>
      </w:r>
      <w:proofErr w:type="gramStart"/>
      <w:r w:rsidR="007D08DE">
        <w:rPr>
          <w:rFonts w:ascii="Calibri" w:hAnsi="Calibri"/>
          <w:color w:val="000000"/>
        </w:rPr>
        <w:t>0.39,</w:t>
      </w:r>
      <w:proofErr w:type="gramEnd"/>
      <w:r w:rsidR="007D08DE">
        <w:rPr>
          <w:rFonts w:ascii="Calibri" w:hAnsi="Calibri"/>
          <w:color w:val="000000"/>
        </w:rPr>
        <w:t xml:space="preserve"> upper limit of enhancement had a 0.31 ± 0.06 ratio, </w:t>
      </w:r>
      <w:r w:rsidR="007D08DE">
        <w:rPr>
          <w:rFonts w:ascii="Calibri" w:hAnsi="Calibri"/>
          <w:color w:val="000000"/>
        </w:rPr>
        <w:lastRenderedPageBreak/>
        <w:t xml:space="preserve">and 0.35 ± 0.06 for initial area under the uptake curve. </w:t>
      </w:r>
      <w:r w:rsidR="007D08DE" w:rsidRPr="007D08DE">
        <w:rPr>
          <w:i/>
        </w:rPr>
        <w:t>Rates of initial uptake measured with LITE</w:t>
      </w:r>
      <w:r w:rsidR="007D08DE" w:rsidRPr="007D08DE">
        <w:rPr>
          <w:rFonts w:ascii="Bahnschrift SemiBold" w:hAnsi="Bahnschrift SemiBold" w:cs="Adobe Devanagari"/>
          <w:i/>
          <w:color w:val="FF0000"/>
          <w:vertAlign w:val="superscript"/>
        </w:rPr>
        <w:t>TMDSLLC</w:t>
      </w:r>
      <w:r w:rsidR="007D08DE" w:rsidRPr="007D08DE">
        <w:rPr>
          <w:rFonts w:ascii="Bahnschrift SemiBold" w:hAnsi="Bahnschrift SemiBold" w:cs="Adobe Devanagari"/>
          <w:i/>
        </w:rPr>
        <w:t xml:space="preserve"> </w:t>
      </w:r>
      <w:r w:rsidR="007D08DE" w:rsidRPr="007D08DE">
        <w:rPr>
          <w:i/>
        </w:rPr>
        <w:t xml:space="preserve">MRI were uniformly and significantly greater than rates measured by the standard dose.  Although this may simply be due to the residual dose remaining from the low dose, this effect could also reflect T2* and water exchange effects (Reference our prostate paper Chatterjee et al Academic </w:t>
      </w:r>
      <w:proofErr w:type="spellStart"/>
      <w:r w:rsidR="007D08DE" w:rsidRPr="007D08DE">
        <w:rPr>
          <w:i/>
        </w:rPr>
        <w:t>Radiol</w:t>
      </w:r>
      <w:proofErr w:type="spellEnd"/>
      <w:r w:rsidR="007D08DE" w:rsidRPr="007D08DE">
        <w:rPr>
          <w:i/>
        </w:rPr>
        <w:t xml:space="preserve"> 2018 ) Thus, comparison between  LITE MRI kinetics and standard dose kinetics could add diagnostically useful information.</w:t>
      </w:r>
      <w:r w:rsidR="007D08DE">
        <w:rPr>
          <w:i/>
        </w:rPr>
        <w:t xml:space="preserve"> </w:t>
      </w:r>
      <w:r w:rsidR="007D08DE">
        <w:rPr>
          <w:rFonts w:ascii="Calibri" w:hAnsi="Calibri"/>
          <w:color w:val="000000"/>
        </w:rPr>
        <w:t>Lesion time-to-enhancement was similar for both doses, with a ratio of 0.91 ± 0.06. Lesion conspicuity was measured as the ratio of the signal increase in the lesion to the signal increase in the surrounding parenchyma. The average lesion conspicuity over the first minute of enhancement had a low-to-high dose ratio of 2.31 ± 1.36.</w:t>
      </w:r>
      <w:r w:rsidR="007D08DE">
        <w:t xml:space="preserve"> </w:t>
      </w:r>
    </w:p>
    <w:p w:rsidR="00137209" w:rsidRDefault="00246EBF">
      <w:r>
        <w:t xml:space="preserve">Conclusion: </w:t>
      </w:r>
      <w:r w:rsidR="00887A79">
        <w:t xml:space="preserve">This preliminary study demonstrates that LITE MRI has the potential to be diagnostically equivalent to standard DCE MRI in breast imaging. </w:t>
      </w:r>
    </w:p>
    <w:sectPr w:rsidR="0013720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MS PGothic">
    <w:panose1 w:val="020B0600070205080204"/>
    <w:charset w:val="80"/>
    <w:family w:val="swiss"/>
    <w:pitch w:val="variable"/>
    <w:sig w:usb0="E00002FF" w:usb1="6AC7FDFB" w:usb2="00000012" w:usb3="00000000" w:csb0="0002009F" w:csb1="00000000"/>
  </w:font>
  <w:font w:name="Bahnschrift SemiBold">
    <w:altName w:val="Vrinda"/>
    <w:charset w:val="00"/>
    <w:family w:val="swiss"/>
    <w:pitch w:val="variable"/>
    <w:sig w:usb0="00000003" w:usb1="00000000" w:usb2="00000000" w:usb3="00000000" w:csb0="00000001" w:csb1="00000000"/>
  </w:font>
  <w:font w:name="Adobe Devanagari">
    <w:panose1 w:val="00000000000000000000"/>
    <w:charset w:val="00"/>
    <w:family w:val="roman"/>
    <w:notTrueType/>
    <w:pitch w:val="variable"/>
    <w:sig w:usb0="00008003" w:usb1="00000000" w:usb2="00000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5"/>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46EBF"/>
    <w:rsid w:val="000375BE"/>
    <w:rsid w:val="00155C88"/>
    <w:rsid w:val="00177F66"/>
    <w:rsid w:val="00214889"/>
    <w:rsid w:val="00246EBF"/>
    <w:rsid w:val="00307F4C"/>
    <w:rsid w:val="00376E05"/>
    <w:rsid w:val="003A32C1"/>
    <w:rsid w:val="00456D76"/>
    <w:rsid w:val="00661B02"/>
    <w:rsid w:val="00681013"/>
    <w:rsid w:val="007D08DE"/>
    <w:rsid w:val="0085530B"/>
    <w:rsid w:val="00887A79"/>
    <w:rsid w:val="0089122F"/>
    <w:rsid w:val="008D6D1E"/>
    <w:rsid w:val="00BB0DC8"/>
    <w:rsid w:val="00C6306E"/>
    <w:rsid w:val="00CB135A"/>
    <w:rsid w:val="00E50211"/>
    <w:rsid w:val="00EA2828"/>
    <w:rsid w:val="00EC6FD1"/>
    <w:rsid w:val="00F0108D"/>
    <w:rsid w:val="00F167E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ja-JP"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46EBF"/>
    <w:rPr>
      <w:color w:val="0000FF" w:themeColor="hyperlink"/>
      <w:u w:val="single"/>
    </w:rPr>
  </w:style>
  <w:style w:type="character" w:styleId="Strong">
    <w:name w:val="Strong"/>
    <w:basedOn w:val="DefaultParagraphFont"/>
    <w:uiPriority w:val="22"/>
    <w:qFormat/>
    <w:rsid w:val="00F167EC"/>
    <w:rPr>
      <w:b/>
      <w:bCs/>
    </w:rPr>
  </w:style>
  <w:style w:type="paragraph" w:styleId="NormalWeb">
    <w:name w:val="Normal (Web)"/>
    <w:basedOn w:val="Normal"/>
    <w:uiPriority w:val="99"/>
    <w:unhideWhenUsed/>
    <w:rsid w:val="00F167EC"/>
    <w:pPr>
      <w:spacing w:before="100" w:beforeAutospacing="1" w:after="100" w:afterAutospacing="1" w:line="240" w:lineRule="auto"/>
    </w:pPr>
    <w:rPr>
      <w:rFonts w:ascii="Times New Roman" w:eastAsia="Times New Roman" w:hAnsi="Times New Roman" w:cs="Times New Roman"/>
      <w:sz w:val="24"/>
      <w:szCs w:val="24"/>
      <w:lang w:eastAsia="en-US"/>
    </w:rPr>
  </w:style>
  <w:style w:type="character" w:styleId="Emphasis">
    <w:name w:val="Emphasis"/>
    <w:basedOn w:val="DefaultParagraphFont"/>
    <w:uiPriority w:val="20"/>
    <w:qFormat/>
    <w:rsid w:val="00E50211"/>
    <w:rPr>
      <w:i/>
      <w:iCs/>
    </w:rPr>
  </w:style>
  <w:style w:type="paragraph" w:styleId="BalloonText">
    <w:name w:val="Balloon Text"/>
    <w:basedOn w:val="Normal"/>
    <w:link w:val="BalloonTextChar"/>
    <w:uiPriority w:val="99"/>
    <w:semiHidden/>
    <w:unhideWhenUsed/>
    <w:rsid w:val="00EC6FD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C6FD1"/>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ja-JP"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46EBF"/>
    <w:rPr>
      <w:color w:val="0000FF" w:themeColor="hyperlink"/>
      <w:u w:val="single"/>
    </w:rPr>
  </w:style>
  <w:style w:type="character" w:styleId="Strong">
    <w:name w:val="Strong"/>
    <w:basedOn w:val="DefaultParagraphFont"/>
    <w:uiPriority w:val="22"/>
    <w:qFormat/>
    <w:rsid w:val="00F167EC"/>
    <w:rPr>
      <w:b/>
      <w:bCs/>
    </w:rPr>
  </w:style>
  <w:style w:type="paragraph" w:styleId="NormalWeb">
    <w:name w:val="Normal (Web)"/>
    <w:basedOn w:val="Normal"/>
    <w:uiPriority w:val="99"/>
    <w:unhideWhenUsed/>
    <w:rsid w:val="00F167EC"/>
    <w:pPr>
      <w:spacing w:before="100" w:beforeAutospacing="1" w:after="100" w:afterAutospacing="1" w:line="240" w:lineRule="auto"/>
    </w:pPr>
    <w:rPr>
      <w:rFonts w:ascii="Times New Roman" w:eastAsia="Times New Roman" w:hAnsi="Times New Roman" w:cs="Times New Roman"/>
      <w:sz w:val="24"/>
      <w:szCs w:val="24"/>
      <w:lang w:eastAsia="en-US"/>
    </w:rPr>
  </w:style>
  <w:style w:type="character" w:styleId="Emphasis">
    <w:name w:val="Emphasis"/>
    <w:basedOn w:val="DefaultParagraphFont"/>
    <w:uiPriority w:val="20"/>
    <w:qFormat/>
    <w:rsid w:val="00E50211"/>
    <w:rPr>
      <w:i/>
      <w:iCs/>
    </w:rPr>
  </w:style>
  <w:style w:type="paragraph" w:styleId="BalloonText">
    <w:name w:val="Balloon Text"/>
    <w:basedOn w:val="Normal"/>
    <w:link w:val="BalloonTextChar"/>
    <w:uiPriority w:val="99"/>
    <w:semiHidden/>
    <w:unhideWhenUsed/>
    <w:rsid w:val="00EC6FD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C6FD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1014268">
      <w:bodyDiv w:val="1"/>
      <w:marLeft w:val="0"/>
      <w:marRight w:val="0"/>
      <w:marTop w:val="0"/>
      <w:marBottom w:val="0"/>
      <w:divBdr>
        <w:top w:val="none" w:sz="0" w:space="0" w:color="auto"/>
        <w:left w:val="none" w:sz="0" w:space="0" w:color="auto"/>
        <w:bottom w:val="none" w:sz="0" w:space="0" w:color="auto"/>
        <w:right w:val="none" w:sz="0" w:space="0" w:color="auto"/>
      </w:divBdr>
    </w:div>
    <w:div w:id="338433484">
      <w:bodyDiv w:val="1"/>
      <w:marLeft w:val="0"/>
      <w:marRight w:val="0"/>
      <w:marTop w:val="0"/>
      <w:marBottom w:val="0"/>
      <w:divBdr>
        <w:top w:val="none" w:sz="0" w:space="0" w:color="auto"/>
        <w:left w:val="none" w:sz="0" w:space="0" w:color="auto"/>
        <w:bottom w:val="none" w:sz="0" w:space="0" w:color="auto"/>
        <w:right w:val="none" w:sz="0" w:space="0" w:color="auto"/>
      </w:divBdr>
    </w:div>
    <w:div w:id="11244261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s://www.uchicagomedicine.org/cancer/types-treatments/breast-cancer" TargetMode="External"/><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1411</Words>
  <Characters>8043</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The University of Chicago Medical Center</Company>
  <LinksUpToDate>false</LinksUpToDate>
  <CharactersWithSpaces>9436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Abe, Hiroyuki</dc:creator>
  <cp:lastModifiedBy>Sheth, Deepa</cp:lastModifiedBy>
  <cp:revision>2</cp:revision>
  <dcterms:created xsi:type="dcterms:W3CDTF">2020-02-27T21:12:00Z</dcterms:created>
  <dcterms:modified xsi:type="dcterms:W3CDTF">2020-02-27T21:12:00Z</dcterms:modified>
</cp:coreProperties>
</file>