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DD0C28" w:rsidP="00AF61EB">
      <w:pPr>
        <w:keepNext/>
      </w:pPr>
      <w:r>
        <w:rPr>
          <w:noProof/>
          <w:lang w:val="de-DE" w:eastAsia="de-DE"/>
        </w:rPr>
        <w:drawing>
          <wp:anchor distT="0" distB="0" distL="114300" distR="114300" simplePos="0" relativeHeight="251672064" behindDoc="0" locked="0" layoutInCell="1" allowOverlap="1">
            <wp:simplePos x="0" y="0"/>
            <wp:positionH relativeFrom="margin">
              <wp:posOffset>1952625</wp:posOffset>
            </wp:positionH>
            <wp:positionV relativeFrom="margin">
              <wp:posOffset>352425</wp:posOffset>
            </wp:positionV>
            <wp:extent cx="1653540" cy="716915"/>
            <wp:effectExtent l="0" t="0" r="3810" b="6985"/>
            <wp:wrapSquare wrapText="bothSides"/>
            <wp:docPr id="8" name="Bild 3" descr="Bildergebnis für logo thera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gebnis für logo therawi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3540" cy="716915"/>
                    </a:xfrm>
                    <a:prstGeom prst="rect">
                      <a:avLst/>
                    </a:prstGeom>
                    <a:noFill/>
                    <a:ln>
                      <a:noFill/>
                    </a:ln>
                  </pic:spPr>
                </pic:pic>
              </a:graphicData>
            </a:graphic>
          </wp:anchor>
        </w:drawing>
      </w:r>
      <w:r w:rsidRPr="000B60CE">
        <w:rPr>
          <w:b/>
          <w:color w:val="0000FF"/>
          <w:lang w:val="de-DE"/>
        </w:rPr>
        <w:drawing>
          <wp:anchor distT="0" distB="0" distL="114300" distR="114300" simplePos="0" relativeHeight="251674112" behindDoc="0" locked="0" layoutInCell="1" allowOverlap="1">
            <wp:simplePos x="0" y="0"/>
            <wp:positionH relativeFrom="margin">
              <wp:posOffset>3638550</wp:posOffset>
            </wp:positionH>
            <wp:positionV relativeFrom="margin">
              <wp:posOffset>304800</wp:posOffset>
            </wp:positionV>
            <wp:extent cx="828675" cy="828675"/>
            <wp:effectExtent l="0" t="0" r="9525" b="9525"/>
            <wp:wrapSquare wrapText="bothSides"/>
            <wp:docPr id="7" name="Grafik 7" descr="Ähnliches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Ähnliches Fo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anchor>
        </w:drawing>
      </w:r>
      <w:r w:rsidR="007405AD">
        <w:rPr>
          <w:noProof/>
          <w:lang w:val="de-DE" w:eastAsia="de-DE"/>
        </w:rPr>
        <w:drawing>
          <wp:anchor distT="0" distB="0" distL="114300" distR="114300" simplePos="0" relativeHeight="251660800" behindDoc="0" locked="0" layoutInCell="1" allowOverlap="1">
            <wp:simplePos x="0" y="0"/>
            <wp:positionH relativeFrom="margin">
              <wp:posOffset>4598035</wp:posOffset>
            </wp:positionH>
            <wp:positionV relativeFrom="margin">
              <wp:posOffset>276225</wp:posOffset>
            </wp:positionV>
            <wp:extent cx="1071245" cy="904875"/>
            <wp:effectExtent l="0" t="0" r="0" b="9525"/>
            <wp:wrapSquare wrapText="bothSides"/>
            <wp:docPr id="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071245" cy="904875"/>
                    </a:xfrm>
                    <a:prstGeom prst="rect">
                      <a:avLst/>
                    </a:prstGeom>
                  </pic:spPr>
                </pic:pic>
              </a:graphicData>
            </a:graphic>
          </wp:anchor>
        </w:drawing>
      </w:r>
      <w:r w:rsidR="000B60CE" w:rsidRPr="00586AAC">
        <w:rPr>
          <w:noProof/>
          <w:lang w:eastAsia="de-DE"/>
        </w:rPr>
        <w:t xml:space="preserve"> </w:t>
      </w:r>
      <w:r w:rsidR="000B60CE">
        <w:rPr>
          <w:noProof/>
          <w:lang w:val="de-DE" w:eastAsia="de-DE"/>
        </w:rPr>
        <w:drawing>
          <wp:inline distT="0" distB="0" distL="0" distR="0" wp14:anchorId="7460DD2D" wp14:editId="188F6A32">
            <wp:extent cx="1276350" cy="2031375"/>
            <wp:effectExtent l="0" t="0" r="0" b="698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94375" cy="2060063"/>
                    </a:xfrm>
                    <a:prstGeom prst="rect">
                      <a:avLst/>
                    </a:prstGeom>
                  </pic:spPr>
                </pic:pic>
              </a:graphicData>
            </a:graphic>
          </wp:inline>
        </w:drawing>
      </w:r>
    </w:p>
    <w:p w:rsidR="00AF61EB" w:rsidRDefault="00AF61EB" w:rsidP="00074C9C">
      <w:pPr>
        <w:rPr>
          <w:rFonts w:eastAsia="MS PGothic"/>
          <w:b/>
          <w:color w:val="000000"/>
          <w:sz w:val="28"/>
          <w:szCs w:val="28"/>
        </w:rPr>
      </w:pPr>
    </w:p>
    <w:p w:rsidR="00F47EC4" w:rsidRPr="007E32BA" w:rsidRDefault="00F47EC4" w:rsidP="00F47EC4">
      <w:pPr>
        <w:spacing w:line="276" w:lineRule="auto"/>
        <w:jc w:val="both"/>
        <w:rPr>
          <w:rFonts w:eastAsia="MS PGothic"/>
          <w:b/>
          <w:color w:val="000000"/>
          <w:sz w:val="28"/>
          <w:szCs w:val="28"/>
        </w:rPr>
      </w:pPr>
      <w:r w:rsidRPr="007E32BA">
        <w:rPr>
          <w:rFonts w:eastAsia="MS PGothic"/>
          <w:b/>
          <w:bCs/>
          <w:sz w:val="28"/>
          <w:szCs w:val="28"/>
        </w:rPr>
        <w:t>PITX2 DNA-methylation, a Novel Validated Predictive Marker In High-Risk Breast Cancer Patients to Assess the Benefit of Anthracycline-Based Chemotherapy</w:t>
      </w:r>
    </w:p>
    <w:p w:rsidR="00540BB0" w:rsidRPr="00540BB0" w:rsidRDefault="00074C9C" w:rsidP="00540BB0">
      <w:pPr>
        <w:contextualSpacing/>
        <w:jc w:val="both"/>
        <w:rPr>
          <w:i/>
        </w:rPr>
      </w:pPr>
      <w:r w:rsidRPr="007E32BA">
        <w:rPr>
          <w:rFonts w:eastAsia="MS PGothic" w:hAnsi="Arial"/>
          <w:color w:val="000000"/>
        </w:rPr>
        <w:br/>
      </w:r>
      <w:r w:rsidR="00F47EC4" w:rsidRPr="007E32BA">
        <w:t xml:space="preserve">Prof. Dr. Dr. </w:t>
      </w:r>
      <w:r w:rsidR="00F47EC4" w:rsidRPr="007E32BA">
        <w:t>Manfred Schmitt</w:t>
      </w:r>
      <w:r w:rsidR="00F47EC4" w:rsidRPr="007E32BA">
        <w:rPr>
          <w:vertAlign w:val="superscript"/>
        </w:rPr>
        <w:t>1,2</w:t>
      </w:r>
      <w:r w:rsidR="00F47EC4" w:rsidRPr="007E32BA">
        <w:t>, Prof. Dr. Olaf G. Wilhelm</w:t>
      </w:r>
      <w:r w:rsidR="00F47EC4" w:rsidRPr="007E32BA">
        <w:rPr>
          <w:vertAlign w:val="superscript"/>
        </w:rPr>
        <w:t>1</w:t>
      </w:r>
      <w:r w:rsidR="00F47EC4" w:rsidRPr="007E32BA">
        <w:t>, Dr. Rudolf Napieralski</w:t>
      </w:r>
      <w:r w:rsidR="00F47EC4" w:rsidRPr="007E32BA">
        <w:rPr>
          <w:vertAlign w:val="superscript"/>
        </w:rPr>
        <w:t>1</w:t>
      </w:r>
      <w:r w:rsidR="00F47EC4" w:rsidRPr="007E32BA">
        <w:rPr>
          <w:vertAlign w:val="superscript"/>
        </w:rPr>
        <w:t>,2</w:t>
      </w:r>
      <w:r w:rsidR="00F47EC4" w:rsidRPr="007E32BA">
        <w:t>, Dr. Gabriele Schricker</w:t>
      </w:r>
      <w:r w:rsidR="00F47EC4" w:rsidRPr="007E32BA">
        <w:rPr>
          <w:vertAlign w:val="superscript"/>
        </w:rPr>
        <w:t>1</w:t>
      </w:r>
      <w:r w:rsidR="00F47EC4" w:rsidRPr="007E32BA">
        <w:t xml:space="preserve">, </w:t>
      </w:r>
    </w:p>
    <w:p w:rsidR="00F47EC4" w:rsidRPr="00540BB0" w:rsidRDefault="007E32BA" w:rsidP="007E32BA">
      <w:pPr>
        <w:contextualSpacing/>
        <w:jc w:val="both"/>
        <w:rPr>
          <w:vertAlign w:val="superscript"/>
          <w:lang w:val="de-DE"/>
        </w:rPr>
      </w:pPr>
      <w:r w:rsidRPr="00540BB0">
        <w:rPr>
          <w:lang w:val="de-DE"/>
        </w:rPr>
        <w:t>Prof. Dr. Wil</w:t>
      </w:r>
      <w:r w:rsidR="00F47EC4" w:rsidRPr="00540BB0">
        <w:rPr>
          <w:lang w:val="de-DE"/>
        </w:rPr>
        <w:t>ko Weichert</w:t>
      </w:r>
      <w:r w:rsidR="00F47EC4" w:rsidRPr="00540BB0">
        <w:rPr>
          <w:vertAlign w:val="superscript"/>
          <w:lang w:val="de-DE"/>
        </w:rPr>
        <w:t>2</w:t>
      </w:r>
      <w:r w:rsidR="00F47EC4" w:rsidRPr="00540BB0">
        <w:rPr>
          <w:lang w:val="de-DE"/>
        </w:rPr>
        <w:t>, PD Dr. Aurelia Noske</w:t>
      </w:r>
      <w:r w:rsidR="00F47EC4" w:rsidRPr="00540BB0">
        <w:rPr>
          <w:vertAlign w:val="superscript"/>
          <w:lang w:val="de-DE"/>
        </w:rPr>
        <w:t>2</w:t>
      </w:r>
      <w:r w:rsidR="00F47EC4" w:rsidRPr="00540BB0">
        <w:rPr>
          <w:lang w:val="de-DE"/>
        </w:rPr>
        <w:t xml:space="preserve">, </w:t>
      </w:r>
      <w:r w:rsidR="00540BB0">
        <w:rPr>
          <w:lang w:val="de-DE"/>
        </w:rPr>
        <w:t xml:space="preserve">Dr. </w:t>
      </w:r>
      <w:r w:rsidR="00540BB0">
        <w:rPr>
          <w:rFonts w:eastAsia="Times New Roman" w:cstheme="minorHAnsi"/>
          <w:lang w:val="de-DE" w:eastAsia="de-DE"/>
        </w:rPr>
        <w:t>Jürgen Lauber</w:t>
      </w:r>
      <w:r w:rsidR="00540BB0" w:rsidRPr="00540BB0">
        <w:rPr>
          <w:vertAlign w:val="superscript"/>
          <w:lang w:val="de-DE"/>
        </w:rPr>
        <w:t>3</w:t>
      </w:r>
      <w:r w:rsidR="00540BB0" w:rsidRPr="00540BB0">
        <w:rPr>
          <w:rFonts w:eastAsia="Times New Roman" w:cstheme="minorHAnsi"/>
          <w:lang w:val="de-DE" w:eastAsia="de-DE"/>
        </w:rPr>
        <w:t>, Jonathan Perkins</w:t>
      </w:r>
      <w:r w:rsidR="00540BB0">
        <w:rPr>
          <w:rFonts w:eastAsia="Times New Roman" w:cstheme="minorHAnsi"/>
          <w:lang w:val="de-DE" w:eastAsia="de-DE"/>
        </w:rPr>
        <w:t>,</w:t>
      </w:r>
      <w:r w:rsidR="00540BB0" w:rsidRPr="00540BB0">
        <w:rPr>
          <w:rFonts w:eastAsia="Times New Roman" w:cstheme="minorHAnsi"/>
          <w:lang w:val="de-DE" w:eastAsia="de-DE"/>
        </w:rPr>
        <w:t xml:space="preserve"> Ph.D</w:t>
      </w:r>
      <w:r w:rsidR="00540BB0">
        <w:rPr>
          <w:rFonts w:eastAsia="Times New Roman" w:cstheme="minorHAnsi"/>
          <w:lang w:val="de-DE" w:eastAsia="de-DE"/>
        </w:rPr>
        <w:t>.</w:t>
      </w:r>
      <w:r w:rsidR="00586AAC">
        <w:rPr>
          <w:rFonts w:eastAsia="Times New Roman" w:cstheme="minorHAnsi"/>
          <w:vertAlign w:val="superscript"/>
          <w:lang w:val="de-DE" w:eastAsia="de-DE"/>
        </w:rPr>
        <w:t>4</w:t>
      </w:r>
      <w:r w:rsidR="00540BB0" w:rsidRPr="00540BB0">
        <w:rPr>
          <w:lang w:val="de-DE"/>
        </w:rPr>
        <w:t xml:space="preserve"> </w:t>
      </w:r>
      <w:r w:rsidR="00F47EC4" w:rsidRPr="00540BB0">
        <w:rPr>
          <w:lang w:val="de-DE"/>
        </w:rPr>
        <w:t>Prof. Dr. Marion Kiechle</w:t>
      </w:r>
      <w:r w:rsidR="00586AAC">
        <w:rPr>
          <w:vertAlign w:val="superscript"/>
          <w:lang w:val="de-DE"/>
        </w:rPr>
        <w:t>5</w:t>
      </w:r>
    </w:p>
    <w:p w:rsidR="00F47EC4" w:rsidRPr="00586AAC" w:rsidRDefault="00F47EC4" w:rsidP="00F47EC4">
      <w:pPr>
        <w:contextualSpacing/>
        <w:jc w:val="both"/>
        <w:rPr>
          <w:i/>
        </w:rPr>
      </w:pPr>
      <w:r w:rsidRPr="00F47EC4">
        <w:rPr>
          <w:i/>
          <w:vertAlign w:val="superscript"/>
        </w:rPr>
        <w:t>1</w:t>
      </w:r>
      <w:r w:rsidRPr="00F47EC4">
        <w:rPr>
          <w:i/>
        </w:rPr>
        <w:t xml:space="preserve">Therawis Diagnostics GmbH, Munich, Germany. </w:t>
      </w:r>
      <w:r w:rsidRPr="00F47EC4">
        <w:rPr>
          <w:i/>
          <w:vertAlign w:val="superscript"/>
        </w:rPr>
        <w:t>2</w:t>
      </w:r>
      <w:r w:rsidRPr="00F47EC4">
        <w:rPr>
          <w:i/>
        </w:rPr>
        <w:t xml:space="preserve">Dept. </w:t>
      </w:r>
      <w:r>
        <w:rPr>
          <w:i/>
        </w:rPr>
        <w:t xml:space="preserve">Pathology and </w:t>
      </w:r>
      <w:r w:rsidR="00586AAC">
        <w:rPr>
          <w:i/>
          <w:vertAlign w:val="superscript"/>
        </w:rPr>
        <w:t>5</w:t>
      </w:r>
      <w:r>
        <w:rPr>
          <w:i/>
        </w:rPr>
        <w:t xml:space="preserve">Dept. </w:t>
      </w:r>
      <w:r w:rsidRPr="00F47EC4">
        <w:rPr>
          <w:i/>
        </w:rPr>
        <w:t>Obstetrics &amp;Gynecology, Technical University of Munich, Munich, Germany</w:t>
      </w:r>
      <w:r w:rsidR="00540BB0">
        <w:rPr>
          <w:i/>
        </w:rPr>
        <w:t xml:space="preserve">. </w:t>
      </w:r>
      <w:r w:rsidR="00586AAC" w:rsidRPr="00586AAC">
        <w:rPr>
          <w:i/>
          <w:vertAlign w:val="superscript"/>
        </w:rPr>
        <w:t>3</w:t>
      </w:r>
      <w:r w:rsidR="00540BB0">
        <w:rPr>
          <w:i/>
        </w:rPr>
        <w:t xml:space="preserve">Qiagen </w:t>
      </w:r>
      <w:r w:rsidR="00586AAC">
        <w:rPr>
          <w:i/>
        </w:rPr>
        <w:t xml:space="preserve">GmbH Hilden, Germany. </w:t>
      </w:r>
      <w:r w:rsidR="00586AAC" w:rsidRPr="00586AAC">
        <w:rPr>
          <w:i/>
          <w:vertAlign w:val="superscript"/>
        </w:rPr>
        <w:t>4</w:t>
      </w:r>
      <w:r w:rsidR="00586AAC">
        <w:rPr>
          <w:i/>
        </w:rPr>
        <w:t>Qiagen Ltd., Manchester, United Kingdom.</w:t>
      </w:r>
      <w:bookmarkStart w:id="0" w:name="_GoBack"/>
      <w:bookmarkEnd w:id="0"/>
    </w:p>
    <w:p w:rsidR="00DC433A" w:rsidRPr="00540BB0" w:rsidRDefault="00DC433A" w:rsidP="00DC433A">
      <w:pPr>
        <w:jc w:val="center"/>
        <w:rPr>
          <w:color w:val="0000FF"/>
          <w:sz w:val="36"/>
          <w:szCs w:val="36"/>
        </w:rPr>
      </w:pPr>
    </w:p>
    <w:p w:rsidR="00F47EC4" w:rsidRPr="00F47EC4" w:rsidRDefault="00F47EC4" w:rsidP="00F47EC4">
      <w:pPr>
        <w:pStyle w:val="Listenabsatz"/>
        <w:ind w:left="0"/>
        <w:contextualSpacing w:val="0"/>
        <w:jc w:val="both"/>
        <w:rPr>
          <w:color w:val="000000"/>
        </w:rPr>
      </w:pPr>
      <w:r w:rsidRPr="00F47EC4">
        <w:rPr>
          <w:b/>
          <w:i/>
          <w:kern w:val="2"/>
          <w:lang w:val="en-GB" w:eastAsia="ja-JP"/>
        </w:rPr>
        <w:t>Background:</w:t>
      </w:r>
      <w:r w:rsidRPr="00F47EC4">
        <w:rPr>
          <w:kern w:val="2"/>
          <w:lang w:val="en-GB" w:eastAsia="ja-JP"/>
        </w:rPr>
        <w:t xml:space="preserve"> The term epigenetics describes dynamic alterations in a cell that switch genes on and off without changes in the DNA sequence. Examples of mechanisms that produce such changes are histone modification and DNA-methylation, each of which alters gene expression. A variety of cellular processes are influenced by epigenetic changes, including gene expression, cellular differentiation, genomic imprinting, and embryogenesis; DNA-methylation plays a crucial role in the development of a variety of cancers, including breast cancer. Significant evidence has accumulated that methylation of the PITX2 (paired-like homeodomain transcription factor 2) gene, an epigenetic event, might serve as a novel predictive and prognostic biomarker in high-risk breast cancer patients. </w:t>
      </w:r>
      <w:r w:rsidRPr="00F47EC4">
        <w:rPr>
          <w:lang w:val="en-GB"/>
        </w:rPr>
        <w:t xml:space="preserve">(Inter)national guidelines recommend anthracycline-based chemotherapy for high-risk breast cancer patients as the standard-of-care, but not all patients do equally benefit from such a chemotherapy. </w:t>
      </w:r>
      <w:r w:rsidRPr="00F47EC4">
        <w:rPr>
          <w:b/>
          <w:i/>
          <w:lang w:val="en-GB"/>
        </w:rPr>
        <w:t>Material, methods, patients.</w:t>
      </w:r>
      <w:r w:rsidRPr="00F47EC4">
        <w:rPr>
          <w:lang w:val="en-GB"/>
        </w:rPr>
        <w:t xml:space="preserve"> </w:t>
      </w:r>
      <w:r w:rsidRPr="00F47EC4">
        <w:rPr>
          <w:color w:val="000000"/>
        </w:rPr>
        <w:t xml:space="preserve">The novel </w:t>
      </w:r>
      <w:r w:rsidRPr="00F47EC4">
        <w:rPr>
          <w:i/>
          <w:color w:val="000000"/>
        </w:rPr>
        <w:t>therascreen</w:t>
      </w:r>
      <w:r w:rsidRPr="00F47EC4">
        <w:rPr>
          <w:color w:val="000000"/>
          <w:vertAlign w:val="superscript"/>
        </w:rPr>
        <w:t xml:space="preserve">® </w:t>
      </w:r>
      <w:r w:rsidRPr="00F47EC4">
        <w:rPr>
          <w:color w:val="000000"/>
        </w:rPr>
        <w:t xml:space="preserve">PITX2 RGQ PCR assay is a quantitative </w:t>
      </w:r>
      <w:r w:rsidRPr="00F47EC4">
        <w:rPr>
          <w:i/>
          <w:color w:val="000000"/>
        </w:rPr>
        <w:t>in vitro</w:t>
      </w:r>
      <w:r w:rsidRPr="00F47EC4">
        <w:rPr>
          <w:color w:val="000000"/>
        </w:rPr>
        <w:t xml:space="preserve"> methylation-specific real-time PCR test (qMSP), intended for the determination of the percent methylation ratio (PMR) in the PITX2 promoter 2 expressed by primary breast cancer tumor tissue (FFPE-material). After bisulfite exposure of extracted DNA to distinguish between methylated and unmethylated PITX2 DNA, the percent methylation ratio (PMR) of the PITX2 gene promoter 2 is quantified by qMSP. The PMR obtained does provide information to the treating physician about whether a patient is likely to respond to anthracycline-based chemotherapy. </w:t>
      </w:r>
      <w:r w:rsidRPr="00F47EC4">
        <w:rPr>
          <w:b/>
          <w:i/>
          <w:color w:val="000000"/>
        </w:rPr>
        <w:t>Results and conclusions.</w:t>
      </w:r>
      <w:r w:rsidRPr="00F47EC4">
        <w:rPr>
          <w:color w:val="000000"/>
        </w:rPr>
        <w:t xml:space="preserve"> Data will be presented for 205 high-risk lymph node-positive, estrogen receptor-positive, HER2-negative breast cancer patients, treated with adjuvant anthracycline-based chemotherapy. The PITX2 pre-</w:t>
      </w:r>
      <w:r w:rsidRPr="00F47EC4">
        <w:rPr>
          <w:color w:val="000000"/>
        </w:rPr>
        <w:lastRenderedPageBreak/>
        <w:t xml:space="preserve">defined cut-off value of PMR=12 demonstrated a statistically significant differentiation between low- and high-risk breast cancer patient for the primary endpoint DFS, also for patients treated with endocrine therapy in addition to anthracycline-based adjuvant therapy. High-risk lymph node-positive, estrogen-receptor-positive, HER2-negative breast cancer patients, with PITX2 methylation defined as </w:t>
      </w:r>
      <w:r w:rsidRPr="00F47EC4">
        <w:rPr>
          <w:color w:val="000000"/>
          <w:u w:val="single"/>
        </w:rPr>
        <w:t>low</w:t>
      </w:r>
      <w:r w:rsidRPr="00F47EC4">
        <w:rPr>
          <w:color w:val="000000"/>
        </w:rPr>
        <w:t xml:space="preserve"> (PMR≤12), are sufficiently treated with anthracycline-based chemotherapy, irrespective if treated with additional tamoxifen. High-risk lymph node-positive, estrogen receptor-positive, HER2-negative breast cancer patients with PITX2 methylation defined as </w:t>
      </w:r>
      <w:r w:rsidRPr="00F47EC4">
        <w:rPr>
          <w:color w:val="000000"/>
          <w:u w:val="single"/>
        </w:rPr>
        <w:t>high</w:t>
      </w:r>
      <w:r w:rsidRPr="00F47EC4">
        <w:rPr>
          <w:color w:val="000000"/>
        </w:rPr>
        <w:t xml:space="preserve"> (PMR&gt;12) should avoid anthracycline-based chemotherapy. These patients are recommended to switch to other chemotherapy regimens, since with this PITX2-characteristics, the patient has a lower probability to respond to anthracycline-based chemotherapy.</w:t>
      </w:r>
    </w:p>
    <w:p w:rsidR="00B8710A" w:rsidRDefault="00B8710A" w:rsidP="00363668">
      <w:pPr>
        <w:jc w:val="both"/>
        <w:rPr>
          <w:color w:val="000000"/>
        </w:rPr>
      </w:pPr>
    </w:p>
    <w:p w:rsidR="00B8710A" w:rsidRDefault="00B8710A" w:rsidP="00363668">
      <w:pPr>
        <w:jc w:val="both"/>
        <w:rPr>
          <w:b/>
        </w:rPr>
      </w:pPr>
      <w:r w:rsidRPr="00732C88">
        <w:rPr>
          <w:b/>
        </w:rPr>
        <w:t>Biography</w:t>
      </w:r>
    </w:p>
    <w:p w:rsidR="00F47EC4" w:rsidRPr="00F47EC4" w:rsidRDefault="00F47EC4" w:rsidP="00F47EC4">
      <w:pPr>
        <w:tabs>
          <w:tab w:val="left" w:pos="360"/>
        </w:tabs>
        <w:jc w:val="both"/>
        <w:rPr>
          <w:color w:val="000000"/>
        </w:rPr>
      </w:pPr>
      <w:r w:rsidRPr="00F47EC4">
        <w:rPr>
          <w:color w:val="000000"/>
        </w:rPr>
        <w:t>Univ.-Prof. Dr. rer. nat. Dr. med. habil. Manfred Schmitt, is a member of the Translational Research Unit of the Dept. Obstetrics &amp; Gynecology, Technical University of Munich (TUM), Munich, Germany, and TUM Emeritus-of-Excellence. His research focusses on the investigation of cancer-associated prognostic and predictive biomarkers, especially in breast and ovarian cancer. He has (co)-authored &gt;450 publications, holds several patents in the area of personalized cancer medicine and has co-founded two companies (Wilex AG, Munich; Therawis Diagnostics GmbH, Munich), involved in designing and marketing prognostic and predictive test formats to identify cancer patients at risk. In addition to his faculty obligations, he currently serves as CSO at Therawis Diagnostics GmbH, Munich</w:t>
      </w:r>
      <w:r w:rsidRPr="00F47EC4">
        <w:rPr>
          <w:color w:val="000000"/>
        </w:rPr>
        <w:t>, Germany</w:t>
      </w:r>
      <w:r w:rsidRPr="00F47EC4">
        <w:rPr>
          <w:color w:val="000000"/>
        </w:rPr>
        <w:t>.</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B60CE"/>
    <w:rsid w:val="000D6718"/>
    <w:rsid w:val="001B06AE"/>
    <w:rsid w:val="00265E72"/>
    <w:rsid w:val="002C359D"/>
    <w:rsid w:val="002C3D9B"/>
    <w:rsid w:val="0031455A"/>
    <w:rsid w:val="00363668"/>
    <w:rsid w:val="00384441"/>
    <w:rsid w:val="003A3C5A"/>
    <w:rsid w:val="00437503"/>
    <w:rsid w:val="00441F91"/>
    <w:rsid w:val="004E62DD"/>
    <w:rsid w:val="004F0441"/>
    <w:rsid w:val="00540BB0"/>
    <w:rsid w:val="00586AAC"/>
    <w:rsid w:val="005B4B32"/>
    <w:rsid w:val="00654259"/>
    <w:rsid w:val="006E0DB9"/>
    <w:rsid w:val="007341F9"/>
    <w:rsid w:val="007405AD"/>
    <w:rsid w:val="0078229D"/>
    <w:rsid w:val="007B0D32"/>
    <w:rsid w:val="007D00E7"/>
    <w:rsid w:val="007D233A"/>
    <w:rsid w:val="007D5AD0"/>
    <w:rsid w:val="007D65C7"/>
    <w:rsid w:val="007E32BA"/>
    <w:rsid w:val="008747F9"/>
    <w:rsid w:val="008E2F78"/>
    <w:rsid w:val="008E737B"/>
    <w:rsid w:val="00912F54"/>
    <w:rsid w:val="0093434A"/>
    <w:rsid w:val="00982F0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DD0C28"/>
    <w:rsid w:val="00E63452"/>
    <w:rsid w:val="00ED2B89"/>
    <w:rsid w:val="00F47EC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C3E741-251C-4A00-A061-F3C484F03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A5A30"/>
    <w:rPr>
      <w:rFonts w:ascii="Times New Roman" w:eastAsia="Batang" w:hAnsi="Times New Roman"/>
      <w:sz w:val="24"/>
      <w:szCs w:val="24"/>
      <w:lang w:eastAsia="ko-KR"/>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37503"/>
    <w:pPr>
      <w:ind w:left="720"/>
      <w:contextualSpacing/>
    </w:pPr>
  </w:style>
  <w:style w:type="paragraph" w:styleId="Sprechblasentext">
    <w:name w:val="Balloon Text"/>
    <w:basedOn w:val="Standard"/>
    <w:link w:val="SprechblasentextZchn"/>
    <w:uiPriority w:val="99"/>
    <w:semiHidden/>
    <w:unhideWhenUsed/>
    <w:rsid w:val="00AF61E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F61EB"/>
    <w:rPr>
      <w:rFonts w:ascii="Tahoma" w:eastAsia="Batang" w:hAnsi="Tahoma" w:cs="Tahoma"/>
      <w:sz w:val="16"/>
      <w:szCs w:val="16"/>
      <w:lang w:eastAsia="ko-KR"/>
    </w:rPr>
  </w:style>
  <w:style w:type="paragraph" w:styleId="Beschriftung">
    <w:name w:val="caption"/>
    <w:basedOn w:val="Standard"/>
    <w:next w:val="Standard"/>
    <w:uiPriority w:val="35"/>
    <w:unhideWhenUsed/>
    <w:qFormat/>
    <w:rsid w:val="00AF61EB"/>
    <w:pPr>
      <w:spacing w:after="200"/>
    </w:pPr>
    <w:rPr>
      <w:b/>
      <w:bCs/>
      <w:color w:val="4F81BD"/>
      <w:sz w:val="18"/>
      <w:szCs w:val="18"/>
    </w:rPr>
  </w:style>
  <w:style w:type="character" w:styleId="Fett">
    <w:name w:val="Strong"/>
    <w:uiPriority w:val="22"/>
    <w:qFormat/>
    <w:rsid w:val="00F47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gif"/><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3615</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Prof. Dr. Dr. Manfred Schmitt</cp:lastModifiedBy>
  <cp:revision>6</cp:revision>
  <dcterms:created xsi:type="dcterms:W3CDTF">2017-11-27T16:37:00Z</dcterms:created>
  <dcterms:modified xsi:type="dcterms:W3CDTF">2017-11-27T17:02:00Z</dcterms:modified>
</cp:coreProperties>
</file>