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565FE" w:rsidP="00255120">
      <w:pPr>
        <w:pStyle w:val="1"/>
        <w:spacing w:before="170"/>
        <w:ind w:left="0"/>
        <w:jc w:val="both"/>
      </w:pPr>
      <w:proofErr w:type="gramStart"/>
      <w:r w:rsidRPr="007565FE">
        <w:rPr>
          <w:color w:val="337AB7"/>
        </w:rPr>
        <w:t>Long term clinical evaluation after microdiscectomy for a single level lumbar disc herniation</w:t>
      </w:r>
      <w:r w:rsidR="00255120" w:rsidRPr="00255120">
        <w:rPr>
          <w:color w:val="337AB7"/>
        </w:rPr>
        <w:t>.</w:t>
      </w:r>
      <w:proofErr w:type="gramEnd"/>
      <w:r w:rsidR="00255120" w:rsidRPr="00255120">
        <w:rPr>
          <w:color w:val="337AB7"/>
        </w:rPr>
        <w:t xml:space="preserve">  </w:t>
      </w:r>
    </w:p>
    <w:p w:rsidR="00255120" w:rsidRDefault="00255120" w:rsidP="00255120">
      <w:pPr>
        <w:pStyle w:val="a3"/>
        <w:rPr>
          <w:rFonts w:ascii="Arial"/>
        </w:rPr>
      </w:pPr>
    </w:p>
    <w:p w:rsidR="00255120" w:rsidRPr="00255120" w:rsidRDefault="00255120" w:rsidP="00255120">
      <w:pPr>
        <w:pStyle w:val="a3"/>
        <w:rPr>
          <w:rFonts w:ascii="Arial"/>
        </w:rPr>
      </w:pPr>
      <w:r>
        <w:rPr>
          <w:rFonts w:ascii="Arial"/>
        </w:rPr>
        <w:t>Evangelos I. Papanastasiou</w:t>
      </w:r>
      <w:r w:rsidRPr="00255120">
        <w:rPr>
          <w:rFonts w:ascii="Arial"/>
        </w:rPr>
        <w:t xml:space="preserve"> M.D., Ph.D. </w:t>
      </w:r>
    </w:p>
    <w:p w:rsidR="00AE3E37" w:rsidRPr="00095A2A" w:rsidRDefault="00255120" w:rsidP="00255120">
      <w:pPr>
        <w:pStyle w:val="a3"/>
        <w:rPr>
          <w:rFonts w:ascii="Arial"/>
        </w:rPr>
      </w:pPr>
      <w:proofErr w:type="gramStart"/>
      <w:r w:rsidRPr="00255120">
        <w:rPr>
          <w:rFonts w:ascii="Arial"/>
        </w:rPr>
        <w:t>Orthopaedic surgeon, Larissa, Greece, EU.</w:t>
      </w:r>
      <w:proofErr w:type="gramEnd"/>
    </w:p>
    <w:p w:rsidR="00AE3E37" w:rsidRDefault="00AE3E37">
      <w:pPr>
        <w:pStyle w:val="a3"/>
        <w:spacing w:before="3"/>
        <w:rPr>
          <w:rFonts w:ascii="Arial"/>
          <w:sz w:val="21"/>
        </w:rPr>
      </w:pPr>
    </w:p>
    <w:p w:rsidR="00AE3E37" w:rsidRDefault="00AE3E37">
      <w:pPr>
        <w:rPr>
          <w:rFonts w:ascii="Arial"/>
          <w:sz w:val="21"/>
        </w:rPr>
        <w:sectPr w:rsidR="00AE3E37" w:rsidSect="001F62FF">
          <w:headerReference w:type="even" r:id="rId7"/>
          <w:headerReference w:type="default" r:id="rId8"/>
          <w:footerReference w:type="default" r:id="rId9"/>
          <w:headerReference w:type="first" r:id="rId10"/>
          <w:type w:val="continuous"/>
          <w:pgSz w:w="11910" w:h="16840"/>
          <w:pgMar w:top="1740" w:right="600" w:bottom="840" w:left="620" w:header="624" w:footer="624" w:gutter="0"/>
          <w:cols w:space="720"/>
          <w:docGrid w:linePitch="299"/>
        </w:sectPr>
      </w:pPr>
    </w:p>
    <w:p w:rsidR="00462101" w:rsidRDefault="00A9710C" w:rsidP="00462101">
      <w:pPr>
        <w:pStyle w:val="3"/>
        <w:spacing w:before="147"/>
        <w:jc w:val="both"/>
      </w:pPr>
      <w:r>
        <w:rPr>
          <w:color w:val="BF5A14"/>
        </w:rPr>
        <w:lastRenderedPageBreak/>
        <w:t>Abstract</w:t>
      </w:r>
    </w:p>
    <w:p w:rsidR="00AE3E37" w:rsidRPr="00462101" w:rsidRDefault="005648B9" w:rsidP="005648B9">
      <w:pPr>
        <w:pStyle w:val="3"/>
        <w:spacing w:before="74"/>
        <w:jc w:val="both"/>
        <w:rPr>
          <w:b w:val="0"/>
        </w:rPr>
      </w:pPr>
      <w:r>
        <w:rPr>
          <w:b w:val="0"/>
        </w:rPr>
        <w:t>The purpose of this study is t</w:t>
      </w:r>
      <w:r w:rsidRPr="005648B9">
        <w:rPr>
          <w:b w:val="0"/>
        </w:rPr>
        <w:t>o evaluate the effect</w:t>
      </w:r>
      <w:r>
        <w:rPr>
          <w:b w:val="0"/>
        </w:rPr>
        <w:t xml:space="preserve"> of lumbar microdiscectomy </w:t>
      </w:r>
      <w:r w:rsidRPr="005648B9">
        <w:rPr>
          <w:b w:val="0"/>
        </w:rPr>
        <w:t>in pain, disability and quality of life in a 5-year period and to identify potential demographic and clinica</w:t>
      </w:r>
      <w:r>
        <w:rPr>
          <w:b w:val="0"/>
        </w:rPr>
        <w:t xml:space="preserve">l risk factors. </w:t>
      </w:r>
      <w:r w:rsidRPr="005648B9">
        <w:rPr>
          <w:b w:val="0"/>
        </w:rPr>
        <w:t>One h</w:t>
      </w:r>
      <w:r>
        <w:rPr>
          <w:b w:val="0"/>
        </w:rPr>
        <w:t>undred patients who underwent lumbar microdiscectomy</w:t>
      </w:r>
      <w:r w:rsidRPr="005648B9">
        <w:rPr>
          <w:b w:val="0"/>
        </w:rPr>
        <w:t xml:space="preserve"> by the same surgeon participated in this prospective study. Clinical assessment was mad</w:t>
      </w:r>
      <w:r>
        <w:rPr>
          <w:b w:val="0"/>
        </w:rPr>
        <w:t xml:space="preserve">e with validated questionnaires (VAS, Oswestry Disability Index, </w:t>
      </w:r>
      <w:r w:rsidR="000F1457" w:rsidRPr="000F1457">
        <w:rPr>
          <w:b w:val="0"/>
        </w:rPr>
        <w:t>Roland Morris Disability Questionnaire</w:t>
      </w:r>
      <w:r w:rsidR="000F1457">
        <w:rPr>
          <w:b w:val="0"/>
        </w:rPr>
        <w:t xml:space="preserve"> and</w:t>
      </w:r>
      <w:r>
        <w:rPr>
          <w:b w:val="0"/>
        </w:rPr>
        <w:t xml:space="preserve"> </w:t>
      </w:r>
      <w:r w:rsidR="000F1457">
        <w:rPr>
          <w:b w:val="0"/>
        </w:rPr>
        <w:t xml:space="preserve">the </w:t>
      </w:r>
      <w:r>
        <w:rPr>
          <w:b w:val="0"/>
        </w:rPr>
        <w:t xml:space="preserve">SF – 36) </w:t>
      </w:r>
      <w:r w:rsidRPr="005648B9">
        <w:rPr>
          <w:b w:val="0"/>
        </w:rPr>
        <w:t xml:space="preserve">preoperatively and up to 5 years postoperatively. Subsequently, associations between clinical outcomes and </w:t>
      </w:r>
      <w:r>
        <w:rPr>
          <w:b w:val="0"/>
        </w:rPr>
        <w:t xml:space="preserve">demographic data were recorded. </w:t>
      </w:r>
      <w:r w:rsidRPr="005648B9">
        <w:rPr>
          <w:b w:val="0"/>
        </w:rPr>
        <w:t>In every assessment questionnaire, there was a significant improvement in the first postoperative month, which lasted up to 1 year post-discectomy. After that, improvement was statistically significant (p &lt; 0.05) but without clinical importance. Women reported more pain preoperatively and 1 month after surgery. Urban residents also presented more pain preoperatively. Older patients had more pain, disability and worse quality of life 1</w:t>
      </w:r>
      <w:r>
        <w:rPr>
          <w:b w:val="0"/>
        </w:rPr>
        <w:t xml:space="preserve"> to </w:t>
      </w:r>
      <w:r w:rsidRPr="005648B9">
        <w:rPr>
          <w:b w:val="0"/>
        </w:rPr>
        <w:t>5 years postoperatively. Similarly, patients with lower education presented the worst scores in every questionnaire at the same time.</w:t>
      </w:r>
      <w:r>
        <w:rPr>
          <w:b w:val="0"/>
        </w:rPr>
        <w:t xml:space="preserve"> Smokers reported less pain 1.5 to </w:t>
      </w:r>
      <w:r w:rsidRPr="005648B9">
        <w:rPr>
          <w:b w:val="0"/>
        </w:rPr>
        <w:t>4 years</w:t>
      </w:r>
      <w:r w:rsidR="001F2E44">
        <w:rPr>
          <w:b w:val="0"/>
        </w:rPr>
        <w:t xml:space="preserve"> after lumbar microdiscectomy</w:t>
      </w:r>
      <w:r w:rsidRPr="005648B9">
        <w:rPr>
          <w:b w:val="0"/>
        </w:rPr>
        <w:t>. Higher alcohol consumption and obesity were associated with lower levels of preoperative pain. However, obese patients had worse SF-36 and ODI scores after the 6th postoperative month. Patients with heavy jobs presented the</w:t>
      </w:r>
      <w:r>
        <w:rPr>
          <w:b w:val="0"/>
        </w:rPr>
        <w:t xml:space="preserve"> worst preoperative ODI scores. </w:t>
      </w:r>
      <w:r w:rsidRPr="005648B9">
        <w:rPr>
          <w:b w:val="0"/>
        </w:rPr>
        <w:t>Significant clinical improvement was recorded from the first postoperative month to the first postoperative year; stabilization was noticed later on. Feminine gender, urban residency, older age, low level of education, obesity and heavy physical occupation were negative prognostic factors. Oddly smoking and alcohol were correlated with less pain.</w:t>
      </w:r>
      <w:r w:rsidR="00A9710C">
        <w:rPr>
          <w:b w:val="0"/>
        </w:rPr>
        <w:br w:type="column"/>
      </w:r>
      <w:r w:rsidR="00A9710C">
        <w:rPr>
          <w:color w:val="BF5A14"/>
        </w:rPr>
        <w:lastRenderedPageBreak/>
        <w:t>Image</w:t>
      </w:r>
    </w:p>
    <w:p w:rsidR="00AE3E37" w:rsidRDefault="00D76386">
      <w:pPr>
        <w:pStyle w:val="a3"/>
        <w:spacing w:before="2"/>
        <w:rPr>
          <w:rFonts w:ascii="Arial"/>
          <w:b/>
          <w:sz w:val="16"/>
        </w:rPr>
      </w:pPr>
      <w:r>
        <w:rPr>
          <w:rFonts w:ascii="Arial"/>
          <w:b/>
          <w:noProof/>
          <w:sz w:val="16"/>
          <w:lang w:val="el-GR" w:eastAsia="el-GR"/>
        </w:rPr>
        <w:drawing>
          <wp:inline distT="0" distB="0" distL="0" distR="0">
            <wp:extent cx="3165475" cy="2328610"/>
            <wp:effectExtent l="19050" t="0" r="0" b="0"/>
            <wp:docPr id="1" name="Εικόνα 3" descr="C:\Users\User\Downloads\20181219074007_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20181219074007_hd.png"/>
                    <pic:cNvPicPr>
                      <a:picLocks noChangeAspect="1" noChangeArrowheads="1"/>
                    </pic:cNvPicPr>
                  </pic:nvPicPr>
                  <pic:blipFill>
                    <a:blip r:embed="rId11" cstate="print"/>
                    <a:srcRect/>
                    <a:stretch>
                      <a:fillRect/>
                    </a:stretch>
                  </pic:blipFill>
                  <pic:spPr bwMode="auto">
                    <a:xfrm>
                      <a:off x="0" y="0"/>
                      <a:ext cx="3165475" cy="232861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A87680" w:rsidRPr="00326B58" w:rsidRDefault="00A87680" w:rsidP="00723CDB">
      <w:pPr>
        <w:pStyle w:val="a4"/>
        <w:numPr>
          <w:ilvl w:val="0"/>
          <w:numId w:val="3"/>
        </w:numPr>
        <w:tabs>
          <w:tab w:val="left" w:pos="384"/>
        </w:tabs>
        <w:spacing w:before="103" w:line="216" w:lineRule="exact"/>
        <w:ind w:right="138" w:hanging="283"/>
        <w:rPr>
          <w:sz w:val="18"/>
          <w:szCs w:val="18"/>
        </w:rPr>
      </w:pPr>
      <w:proofErr w:type="spellStart"/>
      <w:r w:rsidRPr="00326B58">
        <w:rPr>
          <w:sz w:val="18"/>
          <w:szCs w:val="18"/>
        </w:rPr>
        <w:t>Gelalis</w:t>
      </w:r>
      <w:proofErr w:type="spellEnd"/>
      <w:r w:rsidRPr="00326B58">
        <w:rPr>
          <w:sz w:val="18"/>
          <w:szCs w:val="18"/>
        </w:rPr>
        <w:t xml:space="preserve">, I.D., Papanastasiou, E.I., et al. Clinical outcomes after lumbar spine microdiscectomy. </w:t>
      </w:r>
      <w:proofErr w:type="gramStart"/>
      <w:r w:rsidRPr="00326B58">
        <w:rPr>
          <w:sz w:val="18"/>
          <w:szCs w:val="18"/>
        </w:rPr>
        <w:t>A 5 year follow</w:t>
      </w:r>
      <w:proofErr w:type="gramEnd"/>
      <w:r w:rsidRPr="00326B58">
        <w:rPr>
          <w:sz w:val="18"/>
          <w:szCs w:val="18"/>
        </w:rPr>
        <w:t xml:space="preserve"> up prospective study in 100 patients. </w:t>
      </w:r>
      <w:proofErr w:type="spellStart"/>
      <w:r w:rsidRPr="00326B58">
        <w:rPr>
          <w:sz w:val="18"/>
          <w:szCs w:val="18"/>
        </w:rPr>
        <w:t>Eur</w:t>
      </w:r>
      <w:proofErr w:type="spellEnd"/>
      <w:r w:rsidRPr="00326B58">
        <w:rPr>
          <w:sz w:val="18"/>
          <w:szCs w:val="18"/>
        </w:rPr>
        <w:t xml:space="preserve"> J </w:t>
      </w:r>
      <w:proofErr w:type="spellStart"/>
      <w:r w:rsidRPr="00326B58">
        <w:rPr>
          <w:sz w:val="18"/>
          <w:szCs w:val="18"/>
        </w:rPr>
        <w:t>Orthop</w:t>
      </w:r>
      <w:proofErr w:type="spellEnd"/>
      <w:r w:rsidRPr="00326B58">
        <w:rPr>
          <w:sz w:val="18"/>
          <w:szCs w:val="18"/>
        </w:rPr>
        <w:t xml:space="preserve"> </w:t>
      </w:r>
      <w:proofErr w:type="spellStart"/>
      <w:r w:rsidRPr="00326B58">
        <w:rPr>
          <w:sz w:val="18"/>
          <w:szCs w:val="18"/>
        </w:rPr>
        <w:t>Surg</w:t>
      </w:r>
      <w:proofErr w:type="spellEnd"/>
      <w:r w:rsidRPr="00326B58">
        <w:rPr>
          <w:sz w:val="18"/>
          <w:szCs w:val="18"/>
        </w:rPr>
        <w:t xml:space="preserve"> </w:t>
      </w:r>
      <w:proofErr w:type="spellStart"/>
      <w:r w:rsidRPr="00326B58">
        <w:rPr>
          <w:sz w:val="18"/>
          <w:szCs w:val="18"/>
        </w:rPr>
        <w:t>Traumatol</w:t>
      </w:r>
      <w:proofErr w:type="spellEnd"/>
      <w:r w:rsidRPr="00326B58">
        <w:rPr>
          <w:sz w:val="18"/>
          <w:szCs w:val="18"/>
        </w:rPr>
        <w:t>. 2018. – DOI: 10.1007/s00590-018-2359-8</w:t>
      </w:r>
    </w:p>
    <w:p w:rsidR="005973B9" w:rsidRPr="00326B58" w:rsidRDefault="00255120" w:rsidP="00723CDB">
      <w:pPr>
        <w:pStyle w:val="a4"/>
        <w:numPr>
          <w:ilvl w:val="0"/>
          <w:numId w:val="3"/>
        </w:numPr>
        <w:tabs>
          <w:tab w:val="left" w:pos="384"/>
        </w:tabs>
        <w:spacing w:before="103" w:line="216" w:lineRule="exact"/>
        <w:ind w:right="138" w:hanging="283"/>
        <w:rPr>
          <w:sz w:val="18"/>
          <w:szCs w:val="18"/>
        </w:rPr>
      </w:pPr>
      <w:proofErr w:type="spellStart"/>
      <w:r w:rsidRPr="00326B58">
        <w:rPr>
          <w:sz w:val="18"/>
          <w:szCs w:val="18"/>
        </w:rPr>
        <w:t>Gelalis</w:t>
      </w:r>
      <w:proofErr w:type="spellEnd"/>
      <w:r w:rsidRPr="00326B58">
        <w:rPr>
          <w:sz w:val="18"/>
          <w:szCs w:val="18"/>
        </w:rPr>
        <w:t xml:space="preserve">, I.D., Papanastasiou, E.I., </w:t>
      </w:r>
      <w:proofErr w:type="spellStart"/>
      <w:r w:rsidRPr="00326B58">
        <w:rPr>
          <w:sz w:val="18"/>
          <w:szCs w:val="18"/>
        </w:rPr>
        <w:t>Theodorou</w:t>
      </w:r>
      <w:proofErr w:type="spellEnd"/>
      <w:r w:rsidRPr="00326B58">
        <w:rPr>
          <w:sz w:val="18"/>
          <w:szCs w:val="18"/>
        </w:rPr>
        <w:t xml:space="preserve">, D.J. et al. Postoperative MRI findings 5 years after lumbar microdiscectomy. </w:t>
      </w:r>
      <w:proofErr w:type="spellStart"/>
      <w:r w:rsidRPr="00326B58">
        <w:rPr>
          <w:sz w:val="18"/>
          <w:szCs w:val="18"/>
        </w:rPr>
        <w:t>Eur</w:t>
      </w:r>
      <w:proofErr w:type="spellEnd"/>
      <w:r w:rsidRPr="00326B58">
        <w:rPr>
          <w:sz w:val="18"/>
          <w:szCs w:val="18"/>
        </w:rPr>
        <w:t xml:space="preserve"> J </w:t>
      </w:r>
      <w:proofErr w:type="spellStart"/>
      <w:r w:rsidRPr="00326B58">
        <w:rPr>
          <w:sz w:val="18"/>
          <w:szCs w:val="18"/>
        </w:rPr>
        <w:t>Orthop</w:t>
      </w:r>
      <w:proofErr w:type="spellEnd"/>
      <w:r w:rsidRPr="00326B58">
        <w:rPr>
          <w:sz w:val="18"/>
          <w:szCs w:val="18"/>
        </w:rPr>
        <w:t xml:space="preserve"> </w:t>
      </w:r>
      <w:proofErr w:type="spellStart"/>
      <w:r w:rsidRPr="00326B58">
        <w:rPr>
          <w:sz w:val="18"/>
          <w:szCs w:val="18"/>
        </w:rPr>
        <w:t>Surg</w:t>
      </w:r>
      <w:proofErr w:type="spellEnd"/>
      <w:r w:rsidRPr="00326B58">
        <w:rPr>
          <w:sz w:val="18"/>
          <w:szCs w:val="18"/>
        </w:rPr>
        <w:t xml:space="preserve"> </w:t>
      </w:r>
      <w:proofErr w:type="spellStart"/>
      <w:r w:rsidRPr="00326B58">
        <w:rPr>
          <w:sz w:val="18"/>
          <w:szCs w:val="18"/>
        </w:rPr>
        <w:t>Traumatol</w:t>
      </w:r>
      <w:proofErr w:type="spellEnd"/>
      <w:r w:rsidRPr="00326B58">
        <w:rPr>
          <w:sz w:val="18"/>
          <w:szCs w:val="18"/>
        </w:rPr>
        <w:t xml:space="preserve"> (2018). </w:t>
      </w:r>
      <w:hyperlink r:id="rId12" w:history="1">
        <w:r w:rsidR="00A87680" w:rsidRPr="00326B58">
          <w:rPr>
            <w:rStyle w:val="-"/>
            <w:sz w:val="18"/>
            <w:szCs w:val="18"/>
          </w:rPr>
          <w:t>https://doi.org/10.1007/s00590-018-2338-0</w:t>
        </w:r>
      </w:hyperlink>
    </w:p>
    <w:p w:rsidR="00A87680" w:rsidRPr="00326B58" w:rsidRDefault="00A87680" w:rsidP="00A87680">
      <w:pPr>
        <w:pStyle w:val="a4"/>
        <w:numPr>
          <w:ilvl w:val="0"/>
          <w:numId w:val="3"/>
        </w:numPr>
        <w:tabs>
          <w:tab w:val="left" w:pos="384"/>
        </w:tabs>
        <w:spacing w:before="103" w:line="216" w:lineRule="exact"/>
        <w:ind w:right="138"/>
        <w:rPr>
          <w:sz w:val="18"/>
          <w:szCs w:val="18"/>
        </w:rPr>
      </w:pPr>
      <w:proofErr w:type="spellStart"/>
      <w:r w:rsidRPr="00326B58">
        <w:rPr>
          <w:rFonts w:eastAsiaTheme="minorHAnsi" w:cs="STIX-Regular"/>
          <w:color w:val="000000"/>
          <w:sz w:val="18"/>
          <w:szCs w:val="18"/>
        </w:rPr>
        <w:t>Ahmadi</w:t>
      </w:r>
      <w:proofErr w:type="spellEnd"/>
      <w:r w:rsidRPr="00326B58">
        <w:rPr>
          <w:rFonts w:eastAsiaTheme="minorHAnsi" w:cs="STIX-Regular"/>
          <w:color w:val="000000"/>
          <w:sz w:val="18"/>
          <w:szCs w:val="18"/>
        </w:rPr>
        <w:t xml:space="preserve"> SA, </w:t>
      </w:r>
      <w:proofErr w:type="spellStart"/>
      <w:r w:rsidRPr="00326B58">
        <w:rPr>
          <w:rFonts w:eastAsiaTheme="minorHAnsi" w:cs="STIX-Regular"/>
          <w:color w:val="000000"/>
          <w:sz w:val="18"/>
          <w:szCs w:val="18"/>
        </w:rPr>
        <w:t>Burkert</w:t>
      </w:r>
      <w:proofErr w:type="spellEnd"/>
      <w:r w:rsidRPr="00326B58">
        <w:rPr>
          <w:rFonts w:eastAsiaTheme="minorHAnsi" w:cs="STIX-Regular"/>
          <w:color w:val="000000"/>
          <w:sz w:val="18"/>
          <w:szCs w:val="18"/>
        </w:rPr>
        <w:t xml:space="preserve"> IP, </w:t>
      </w:r>
      <w:proofErr w:type="spellStart"/>
      <w:r w:rsidRPr="00326B58">
        <w:rPr>
          <w:rFonts w:eastAsiaTheme="minorHAnsi" w:cs="STIX-Regular"/>
          <w:color w:val="000000"/>
          <w:sz w:val="18"/>
          <w:szCs w:val="18"/>
        </w:rPr>
        <w:t>Steiger</w:t>
      </w:r>
      <w:proofErr w:type="spellEnd"/>
      <w:r w:rsidRPr="00326B58">
        <w:rPr>
          <w:rFonts w:eastAsiaTheme="minorHAnsi" w:cs="STIX-Regular"/>
          <w:color w:val="000000"/>
          <w:sz w:val="18"/>
          <w:szCs w:val="18"/>
        </w:rPr>
        <w:t xml:space="preserve"> HJ et al (2018) Multidimensional long-term outcome analysis after single-level lumbar microdiscectomy: a retrospective single-centre study. </w:t>
      </w:r>
      <w:proofErr w:type="spellStart"/>
      <w:r w:rsidRPr="00326B58">
        <w:rPr>
          <w:rFonts w:eastAsiaTheme="minorHAnsi" w:cs="STIX-Regular"/>
          <w:color w:val="000000"/>
          <w:sz w:val="18"/>
          <w:szCs w:val="18"/>
        </w:rPr>
        <w:t>Eur</w:t>
      </w:r>
      <w:proofErr w:type="spellEnd"/>
      <w:r w:rsidRPr="00326B58">
        <w:rPr>
          <w:rFonts w:eastAsiaTheme="minorHAnsi" w:cs="STIX-Regular"/>
          <w:color w:val="000000"/>
          <w:sz w:val="18"/>
          <w:szCs w:val="18"/>
        </w:rPr>
        <w:t xml:space="preserve"> J </w:t>
      </w:r>
      <w:proofErr w:type="spellStart"/>
      <w:r w:rsidRPr="00326B58">
        <w:rPr>
          <w:rFonts w:eastAsiaTheme="minorHAnsi" w:cs="STIX-Regular"/>
          <w:color w:val="000000"/>
          <w:sz w:val="18"/>
          <w:szCs w:val="18"/>
        </w:rPr>
        <w:t>Orthop</w:t>
      </w:r>
      <w:proofErr w:type="spellEnd"/>
      <w:r w:rsidRPr="00326B58">
        <w:rPr>
          <w:rFonts w:eastAsiaTheme="minorHAnsi" w:cs="STIX-Regular"/>
          <w:color w:val="000000"/>
          <w:sz w:val="18"/>
          <w:szCs w:val="18"/>
        </w:rPr>
        <w:t xml:space="preserve"> </w:t>
      </w:r>
      <w:proofErr w:type="spellStart"/>
      <w:r w:rsidRPr="00326B58">
        <w:rPr>
          <w:rFonts w:eastAsiaTheme="minorHAnsi" w:cs="STIX-Regular"/>
          <w:color w:val="000000"/>
          <w:sz w:val="18"/>
          <w:szCs w:val="18"/>
        </w:rPr>
        <w:t>Surg</w:t>
      </w:r>
      <w:proofErr w:type="spellEnd"/>
      <w:r w:rsidRPr="00326B58">
        <w:rPr>
          <w:rFonts w:eastAsiaTheme="minorHAnsi" w:cs="STIX-Regular"/>
          <w:color w:val="000000"/>
          <w:sz w:val="18"/>
          <w:szCs w:val="18"/>
        </w:rPr>
        <w:t xml:space="preserve"> </w:t>
      </w:r>
      <w:proofErr w:type="spellStart"/>
      <w:r w:rsidRPr="00326B58">
        <w:rPr>
          <w:rFonts w:eastAsiaTheme="minorHAnsi" w:cs="STIX-Regular"/>
          <w:color w:val="000000"/>
          <w:sz w:val="18"/>
          <w:szCs w:val="18"/>
        </w:rPr>
        <w:t>Traumatol</w:t>
      </w:r>
      <w:proofErr w:type="spellEnd"/>
      <w:r w:rsidRPr="00326B58">
        <w:rPr>
          <w:rFonts w:eastAsiaTheme="minorHAnsi" w:cs="STIX-Regular"/>
          <w:color w:val="000000"/>
          <w:sz w:val="18"/>
          <w:szCs w:val="18"/>
        </w:rPr>
        <w:t xml:space="preserve"> 28:189. </w:t>
      </w:r>
      <w:r w:rsidRPr="00326B58">
        <w:rPr>
          <w:rFonts w:eastAsiaTheme="minorHAnsi" w:cs="STIX-Regular"/>
          <w:color w:val="0000FF"/>
          <w:sz w:val="18"/>
          <w:szCs w:val="18"/>
        </w:rPr>
        <w:t>https ://doi.org/10.1007/s0059 0-017-2043-4</w:t>
      </w:r>
    </w:p>
    <w:p w:rsidR="00AE3E37" w:rsidRPr="00326B58" w:rsidRDefault="00A87680" w:rsidP="00326B58">
      <w:pPr>
        <w:pStyle w:val="a4"/>
        <w:numPr>
          <w:ilvl w:val="0"/>
          <w:numId w:val="3"/>
        </w:numPr>
        <w:tabs>
          <w:tab w:val="left" w:pos="384"/>
        </w:tabs>
        <w:spacing w:before="103" w:line="216" w:lineRule="exact"/>
        <w:ind w:right="138"/>
        <w:rPr>
          <w:sz w:val="18"/>
          <w:szCs w:val="18"/>
        </w:rPr>
      </w:pPr>
      <w:proofErr w:type="spellStart"/>
      <w:r w:rsidRPr="00326B58">
        <w:rPr>
          <w:rFonts w:eastAsiaTheme="minorHAnsi" w:cs="STIX-Regular"/>
          <w:color w:val="000000"/>
          <w:sz w:val="18"/>
          <w:szCs w:val="18"/>
        </w:rPr>
        <w:t>Koerner</w:t>
      </w:r>
      <w:proofErr w:type="spellEnd"/>
      <w:r w:rsidRPr="00326B58">
        <w:rPr>
          <w:rFonts w:eastAsiaTheme="minorHAnsi" w:cs="STIX-Regular"/>
          <w:color w:val="000000"/>
          <w:sz w:val="18"/>
          <w:szCs w:val="18"/>
        </w:rPr>
        <w:t xml:space="preserve"> JD, Glaser J, Radcliff K (2015) </w:t>
      </w:r>
      <w:proofErr w:type="gramStart"/>
      <w:r w:rsidRPr="00326B58">
        <w:rPr>
          <w:rFonts w:eastAsiaTheme="minorHAnsi" w:cs="STIX-Regular"/>
          <w:color w:val="000000"/>
          <w:sz w:val="18"/>
          <w:szCs w:val="18"/>
        </w:rPr>
        <w:t>Which</w:t>
      </w:r>
      <w:proofErr w:type="gramEnd"/>
      <w:r w:rsidRPr="00326B58">
        <w:rPr>
          <w:rFonts w:eastAsiaTheme="minorHAnsi" w:cs="STIX-Regular"/>
          <w:color w:val="000000"/>
          <w:sz w:val="18"/>
          <w:szCs w:val="18"/>
        </w:rPr>
        <w:t xml:space="preserve"> variables are</w:t>
      </w:r>
      <w:r w:rsidR="00326B58" w:rsidRPr="00326B58">
        <w:rPr>
          <w:rFonts w:eastAsiaTheme="minorHAnsi" w:cs="STIX-Regular"/>
          <w:color w:val="000000"/>
          <w:sz w:val="18"/>
          <w:szCs w:val="18"/>
        </w:rPr>
        <w:t xml:space="preserve"> </w:t>
      </w:r>
      <w:r w:rsidRPr="00326B58">
        <w:rPr>
          <w:rFonts w:eastAsiaTheme="minorHAnsi" w:cs="STIX-Regular"/>
          <w:color w:val="000000"/>
          <w:sz w:val="18"/>
          <w:szCs w:val="18"/>
        </w:rPr>
        <w:t>associated with patient-reported outcomes after discectomy?</w:t>
      </w:r>
      <w:r w:rsidR="00326B58" w:rsidRPr="00326B58">
        <w:rPr>
          <w:rFonts w:eastAsiaTheme="minorHAnsi" w:cs="STIX-Regular"/>
          <w:color w:val="000000"/>
          <w:sz w:val="18"/>
          <w:szCs w:val="18"/>
        </w:rPr>
        <w:t xml:space="preserve"> </w:t>
      </w:r>
      <w:proofErr w:type="gramStart"/>
      <w:r w:rsidRPr="00326B58">
        <w:rPr>
          <w:rFonts w:eastAsiaTheme="minorHAnsi" w:cs="STIX-Regular"/>
          <w:color w:val="000000"/>
          <w:sz w:val="18"/>
          <w:szCs w:val="18"/>
        </w:rPr>
        <w:t>review</w:t>
      </w:r>
      <w:proofErr w:type="gramEnd"/>
      <w:r w:rsidRPr="00326B58">
        <w:rPr>
          <w:rFonts w:eastAsiaTheme="minorHAnsi" w:cs="STIX-Regular"/>
          <w:color w:val="000000"/>
          <w:sz w:val="18"/>
          <w:szCs w:val="18"/>
        </w:rPr>
        <w:t xml:space="preserve"> of SPORT disc herniation studies. </w:t>
      </w:r>
      <w:proofErr w:type="spellStart"/>
      <w:r w:rsidRPr="00326B58">
        <w:rPr>
          <w:rFonts w:eastAsiaTheme="minorHAnsi" w:cs="STIX-Regular"/>
          <w:color w:val="000000"/>
          <w:sz w:val="18"/>
          <w:szCs w:val="18"/>
        </w:rPr>
        <w:t>Clin</w:t>
      </w:r>
      <w:proofErr w:type="spellEnd"/>
      <w:r w:rsidRPr="00326B58">
        <w:rPr>
          <w:rFonts w:eastAsiaTheme="minorHAnsi" w:cs="STIX-Regular"/>
          <w:color w:val="000000"/>
          <w:sz w:val="18"/>
          <w:szCs w:val="18"/>
        </w:rPr>
        <w:t xml:space="preserve"> </w:t>
      </w:r>
      <w:proofErr w:type="spellStart"/>
      <w:r w:rsidRPr="00326B58">
        <w:rPr>
          <w:rFonts w:eastAsiaTheme="minorHAnsi" w:cs="STIX-Regular"/>
          <w:color w:val="000000"/>
          <w:sz w:val="18"/>
          <w:szCs w:val="18"/>
        </w:rPr>
        <w:t>Orthop</w:t>
      </w:r>
      <w:proofErr w:type="spellEnd"/>
      <w:r w:rsidRPr="00326B58">
        <w:rPr>
          <w:rFonts w:eastAsiaTheme="minorHAnsi" w:cs="STIX-Regular"/>
          <w:color w:val="000000"/>
          <w:sz w:val="18"/>
          <w:szCs w:val="18"/>
        </w:rPr>
        <w:t xml:space="preserve"> </w:t>
      </w:r>
      <w:proofErr w:type="spellStart"/>
      <w:r w:rsidRPr="00326B58">
        <w:rPr>
          <w:rFonts w:eastAsiaTheme="minorHAnsi" w:cs="STIX-Regular"/>
          <w:color w:val="000000"/>
          <w:sz w:val="18"/>
          <w:szCs w:val="18"/>
        </w:rPr>
        <w:t>Relat</w:t>
      </w:r>
      <w:proofErr w:type="spellEnd"/>
      <w:r w:rsidRPr="00326B58">
        <w:rPr>
          <w:rFonts w:eastAsiaTheme="minorHAnsi" w:cs="STIX-Regular"/>
          <w:color w:val="000000"/>
          <w:sz w:val="18"/>
          <w:szCs w:val="18"/>
        </w:rPr>
        <w:t xml:space="preserve"> Res</w:t>
      </w:r>
      <w:r w:rsidR="00326B58" w:rsidRPr="00326B58">
        <w:rPr>
          <w:rFonts w:eastAsiaTheme="minorHAnsi" w:cs="STIX-Regular"/>
          <w:color w:val="000000"/>
          <w:sz w:val="18"/>
          <w:szCs w:val="18"/>
        </w:rPr>
        <w:t xml:space="preserve"> </w:t>
      </w:r>
      <w:r w:rsidRPr="00326B58">
        <w:rPr>
          <w:rFonts w:eastAsiaTheme="minorHAnsi" w:cs="STIX-Regular"/>
          <w:color w:val="000000"/>
          <w:sz w:val="18"/>
          <w:szCs w:val="18"/>
        </w:rPr>
        <w:t xml:space="preserve">473(6):2000–2006. </w:t>
      </w:r>
      <w:r w:rsidRPr="00326B58">
        <w:rPr>
          <w:rFonts w:eastAsiaTheme="minorHAnsi" w:cs="STIX-Regular"/>
          <w:color w:val="0000FF"/>
          <w:sz w:val="18"/>
          <w:szCs w:val="18"/>
        </w:rPr>
        <w:t>https ://doi.org/10.1007/s1199 9-014-3671-1</w:t>
      </w:r>
    </w:p>
    <w:p w:rsidR="00A87680" w:rsidRPr="00326B58" w:rsidRDefault="00326B58" w:rsidP="00326B58">
      <w:pPr>
        <w:pStyle w:val="a4"/>
        <w:numPr>
          <w:ilvl w:val="0"/>
          <w:numId w:val="3"/>
        </w:numPr>
        <w:tabs>
          <w:tab w:val="left" w:pos="384"/>
        </w:tabs>
        <w:spacing w:before="103" w:line="216" w:lineRule="exact"/>
        <w:ind w:right="138"/>
        <w:rPr>
          <w:sz w:val="18"/>
          <w:szCs w:val="18"/>
        </w:rPr>
        <w:sectPr w:rsidR="00A87680" w:rsidRPr="00326B58">
          <w:type w:val="continuous"/>
          <w:pgSz w:w="11910" w:h="16840"/>
          <w:pgMar w:top="1740" w:right="600" w:bottom="840" w:left="620" w:header="720" w:footer="720" w:gutter="0"/>
          <w:cols w:num="2" w:space="720" w:equalWidth="0">
            <w:col w:w="5214" w:space="138"/>
            <w:col w:w="5338"/>
          </w:cols>
        </w:sectPr>
      </w:pPr>
      <w:r w:rsidRPr="00326B58">
        <w:rPr>
          <w:rFonts w:eastAsiaTheme="minorHAnsi" w:cs="STIX-Regular"/>
          <w:color w:val="000000"/>
          <w:sz w:val="18"/>
          <w:szCs w:val="18"/>
        </w:rPr>
        <w:t xml:space="preserve">Huang W, Han Z, Liu J, Yu L, Yu X (2016) Risk factors for recurrent lumbar disc herniation. A systematic review and meta-analysis. Medicine 95(2):e2378. </w:t>
      </w:r>
      <w:r w:rsidRPr="00326B58">
        <w:rPr>
          <w:rFonts w:eastAsiaTheme="minorHAnsi" w:cs="STIX-Regular"/>
          <w:color w:val="0000FF"/>
          <w:sz w:val="18"/>
          <w:szCs w:val="18"/>
        </w:rPr>
        <w:t>https ://doi.org/10.1097/MD.00000</w:t>
      </w:r>
      <w:r w:rsidRPr="00326B58">
        <w:rPr>
          <w:rFonts w:eastAsiaTheme="minorHAnsi" w:cs="STIX-Regular"/>
          <w:color w:val="0000FF"/>
          <w:sz w:val="18"/>
          <w:szCs w:val="18"/>
          <w:lang w:val="el-GR"/>
        </w:rPr>
        <w:t>00000 002378</w:t>
      </w:r>
    </w:p>
    <w:p w:rsidR="00AE3E37" w:rsidRDefault="00AE3E37">
      <w:pPr>
        <w:pStyle w:val="a3"/>
        <w:rPr>
          <w:rFonts w:ascii="Calibri"/>
          <w:sz w:val="20"/>
        </w:rPr>
      </w:pPr>
    </w:p>
    <w:p w:rsidR="00CB6089" w:rsidRDefault="00CB6089">
      <w:pPr>
        <w:pStyle w:val="a3"/>
        <w:rPr>
          <w:rFonts w:ascii="Calibri"/>
          <w:sz w:val="20"/>
        </w:rPr>
      </w:pPr>
    </w:p>
    <w:p w:rsidR="00D76386" w:rsidRDefault="00D76386">
      <w:pPr>
        <w:pStyle w:val="a3"/>
        <w:rPr>
          <w:rFonts w:ascii="Calibri"/>
          <w:sz w:val="20"/>
        </w:rPr>
      </w:pPr>
    </w:p>
    <w:p w:rsidR="00D76386" w:rsidRDefault="00D76386">
      <w:pPr>
        <w:pStyle w:val="a3"/>
        <w:rPr>
          <w:rFonts w:ascii="Calibri"/>
          <w:sz w:val="20"/>
        </w:rPr>
      </w:pPr>
    </w:p>
    <w:p w:rsidR="00D76386" w:rsidRDefault="00D76386">
      <w:pPr>
        <w:pStyle w:val="a3"/>
        <w:rPr>
          <w:rFonts w:ascii="Calibri"/>
          <w:sz w:val="20"/>
        </w:rPr>
      </w:pPr>
    </w:p>
    <w:p w:rsidR="00AE3E37" w:rsidRDefault="00DA71BE">
      <w:pPr>
        <w:pStyle w:val="a3"/>
        <w:spacing w:line="40" w:lineRule="exact"/>
        <w:ind w:left="2202"/>
        <w:rPr>
          <w:rFonts w:ascii="Calibri"/>
          <w:sz w:val="4"/>
        </w:rPr>
      </w:pPr>
      <w:r w:rsidRPr="00DA71BE">
        <w:rPr>
          <w:rFonts w:ascii="Calibri"/>
          <w:noProof/>
          <w:sz w:val="4"/>
          <w:lang w:val="en-IN" w:eastAsia="en-IN"/>
        </w:rPr>
      </w:r>
      <w:r w:rsidRPr="00DA71B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7275E" w:rsidRPr="00B7275E" w:rsidRDefault="008756E6" w:rsidP="00404E5B">
      <w:pPr>
        <w:spacing w:before="92"/>
        <w:ind w:right="4234"/>
        <w:rPr>
          <w:rFonts w:ascii="Arial"/>
          <w:color w:val="BF5A14"/>
        </w:rPr>
      </w:pPr>
      <w:r>
        <w:rPr>
          <w:noProof/>
        </w:rPr>
        <w:lastRenderedPageBreak/>
        <w:t xml:space="preserve">              </w:t>
      </w:r>
      <w:r w:rsidR="00CB6089">
        <w:rPr>
          <w:noProof/>
          <w:lang w:val="el-GR" w:eastAsia="el-GR"/>
        </w:rPr>
        <w:drawing>
          <wp:inline distT="0" distB="0" distL="0" distR="0">
            <wp:extent cx="571500" cy="743271"/>
            <wp:effectExtent l="19050" t="0" r="0" b="0"/>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72520" cy="744597"/>
                    </a:xfrm>
                    <a:prstGeom prst="rect">
                      <a:avLst/>
                    </a:prstGeom>
                    <a:noFill/>
                    <a:ln w="9525">
                      <a:noFill/>
                      <a:miter lim="800000"/>
                      <a:headEnd/>
                      <a:tailEnd/>
                    </a:ln>
                  </pic:spPr>
                </pic:pic>
              </a:graphicData>
            </a:graphic>
          </wp:inline>
        </w:drawing>
      </w:r>
      <w:r w:rsidR="00CB6089">
        <w:rPr>
          <w:noProof/>
          <w:lang w:eastAsia="el-GR"/>
        </w:rPr>
        <w:t xml:space="preserve"> </w:t>
      </w:r>
      <w:r w:rsidR="00A9710C">
        <w:rPr>
          <w:rFonts w:ascii="Arial"/>
          <w:color w:val="BF5A14"/>
        </w:rPr>
        <w:t>Biography</w:t>
      </w:r>
      <w:r w:rsidR="00404E5B">
        <w:rPr>
          <w:rFonts w:ascii="Arial"/>
          <w:color w:val="BF5A14"/>
        </w:rPr>
        <w:t xml:space="preserve"> </w:t>
      </w:r>
    </w:p>
    <w:p w:rsidR="00AE3E37" w:rsidRPr="00B7275E" w:rsidRDefault="00B7275E" w:rsidP="00B7275E">
      <w:pPr>
        <w:spacing w:before="41"/>
        <w:ind w:left="213" w:right="231"/>
        <w:jc w:val="both"/>
        <w:rPr>
          <w:rFonts w:ascii="Arial"/>
          <w:sz w:val="16"/>
          <w:szCs w:val="16"/>
        </w:rPr>
      </w:pPr>
      <w:r w:rsidRPr="00B7275E">
        <w:rPr>
          <w:rFonts w:ascii="Arial"/>
          <w:sz w:val="16"/>
          <w:szCs w:val="16"/>
        </w:rPr>
        <w:t xml:space="preserve">Evangelos I. Papanastasiou MD, PhD is an orthopaedic surgeon whose research interests cover a range of issues, especially surgical procedures for cervical and lumbar surgery, microsurgery and surgery of the hand and upper extremity. In addition to orthopaedic surgery and traumatology Dr Papanastasiou is also trained in Medical Acupuncture with an emphasis on musculoskeletal disorders and injuries and on the treatment of </w:t>
      </w:r>
      <w:proofErr w:type="spellStart"/>
      <w:r w:rsidRPr="00B7275E">
        <w:rPr>
          <w:rFonts w:ascii="Arial"/>
          <w:sz w:val="16"/>
          <w:szCs w:val="16"/>
        </w:rPr>
        <w:t>myofascial</w:t>
      </w:r>
      <w:proofErr w:type="spellEnd"/>
      <w:r w:rsidRPr="00B7275E">
        <w:rPr>
          <w:rFonts w:ascii="Arial"/>
          <w:sz w:val="16"/>
          <w:szCs w:val="16"/>
        </w:rPr>
        <w:t xml:space="preserve"> pain and chronic pain syndromes.</w:t>
      </w:r>
    </w:p>
    <w:p w:rsidR="00B7275E" w:rsidRPr="00B7275E" w:rsidRDefault="00B7275E" w:rsidP="00B7275E">
      <w:pPr>
        <w:spacing w:before="62"/>
        <w:ind w:left="4217" w:right="4235"/>
        <w:jc w:val="center"/>
        <w:rPr>
          <w:rFonts w:ascii="Arial"/>
          <w:sz w:val="16"/>
          <w:szCs w:val="16"/>
        </w:rPr>
      </w:pPr>
    </w:p>
    <w:p w:rsidR="00AE3E37" w:rsidRPr="0060215B" w:rsidRDefault="00A9710C">
      <w:pPr>
        <w:spacing w:before="62"/>
        <w:ind w:left="4217" w:right="4235"/>
        <w:jc w:val="center"/>
        <w:rPr>
          <w:rFonts w:ascii="Calibri" w:hAnsi="Calibri"/>
          <w:sz w:val="14"/>
        </w:rPr>
      </w:pPr>
      <w:r>
        <w:rPr>
          <w:rFonts w:ascii="Arial"/>
          <w:sz w:val="14"/>
        </w:rPr>
        <w:t>Email:</w:t>
      </w:r>
      <w:r w:rsidR="0060215B">
        <w:rPr>
          <w:rFonts w:ascii="Arial"/>
          <w:sz w:val="14"/>
        </w:rPr>
        <w:t xml:space="preserve"> </w:t>
      </w:r>
      <w:r w:rsidR="0060215B" w:rsidRPr="0060215B">
        <w:rPr>
          <w:rFonts w:ascii="Calibri" w:hAnsi="Calibri"/>
          <w:sz w:val="16"/>
          <w:szCs w:val="16"/>
        </w:rPr>
        <w:t>vangelispapanastasiou@yahoo.gr</w:t>
      </w:r>
    </w:p>
    <w:p w:rsidR="00AE3E37" w:rsidRDefault="00DA71BE">
      <w:pPr>
        <w:pStyle w:val="a3"/>
        <w:spacing w:before="2"/>
        <w:rPr>
          <w:rFonts w:ascii="Arial"/>
          <w:sz w:val="19"/>
        </w:rPr>
      </w:pPr>
      <w:r w:rsidRPr="00DA71BE">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Pr="00B7275E" w:rsidRDefault="00AE3E37" w:rsidP="00B7275E">
      <w:pPr>
        <w:spacing w:before="39"/>
        <w:ind w:left="100"/>
        <w:rPr>
          <w:rFonts w:ascii="Minion Pro"/>
          <w:b/>
          <w:sz w:val="20"/>
        </w:rPr>
        <w:sectPr w:rsidR="00AE3E37" w:rsidRPr="00B7275E">
          <w:type w:val="continuous"/>
          <w:pgSz w:w="11910" w:h="16840"/>
          <w:pgMar w:top="1740" w:right="600" w:bottom="840" w:left="620" w:header="720" w:footer="720" w:gutter="0"/>
          <w:cols w:space="720"/>
        </w:sectPr>
      </w:pPr>
    </w:p>
    <w:p w:rsidR="00AE3E37" w:rsidRPr="00A45079" w:rsidRDefault="00AE3E37">
      <w:pPr>
        <w:pStyle w:val="a3"/>
        <w:spacing w:before="3"/>
        <w:rPr>
          <w:rFonts w:ascii="Minion Pro"/>
          <w:sz w:val="20"/>
          <w:szCs w:val="22"/>
        </w:rPr>
      </w:pPr>
    </w:p>
    <w:sectPr w:rsidR="00AE3E37" w:rsidRPr="00A4507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6E1" w:rsidRDefault="002C76E1">
      <w:r>
        <w:separator/>
      </w:r>
    </w:p>
  </w:endnote>
  <w:endnote w:type="continuationSeparator" w:id="0">
    <w:p w:rsidR="002C76E1" w:rsidRDefault="002C76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STIX-Regular">
    <w:panose1 w:val="00000000000000000000"/>
    <w:charset w:val="A1"/>
    <w:family w:val="roman"/>
    <w:notTrueType/>
    <w:pitch w:val="default"/>
    <w:sig w:usb0="00000081" w:usb1="00000000" w:usb2="00000000" w:usb3="00000000" w:csb0="00000008"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6E1" w:rsidRDefault="002C76E1">
      <w:r>
        <w:separator/>
      </w:r>
    </w:p>
  </w:footnote>
  <w:footnote w:type="continuationSeparator" w:id="0">
    <w:p w:rsidR="002C76E1" w:rsidRDefault="002C76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DA71BE">
    <w:pPr>
      <w:pStyle w:val="a5"/>
    </w:pPr>
    <w:r w:rsidRPr="00DA71BE">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947D8B" w:rsidRDefault="009C04D6" w:rsidP="00947D8B">
    <w:pPr>
      <w:pStyle w:val="a5"/>
    </w:pPr>
    <w:r>
      <w:rPr>
        <w:noProof/>
        <w:sz w:val="20"/>
        <w:szCs w:val="18"/>
        <w:lang w:val="el-GR" w:eastAsia="el-GR"/>
      </w:rPr>
      <w:drawing>
        <wp:inline distT="0" distB="0" distL="0" distR="0">
          <wp:extent cx="6788150" cy="1079142"/>
          <wp:effectExtent l="0" t="0" r="0" b="6985"/>
          <wp:docPr id="3" name="Picture 3" descr="D:\Bone Tissue Engineering\Website Content\Images\logo\BoneTissueEngineer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one Tissue Engineering\Website Content\Images\logo\BoneTissueEngineering 2019.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DA71BE">
    <w:pPr>
      <w:pStyle w:val="a5"/>
    </w:pPr>
    <w:r w:rsidRPr="00DA71BE">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8240;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AD2553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B8F12F0"/>
    <w:multiLevelType w:val="hybridMultilevel"/>
    <w:tmpl w:val="1E2E209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7E0F5A7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compat>
  <w:rsids>
    <w:rsidRoot w:val="00AE3E37"/>
    <w:rsid w:val="00070F45"/>
    <w:rsid w:val="00095A2A"/>
    <w:rsid w:val="000E2911"/>
    <w:rsid w:val="000F1457"/>
    <w:rsid w:val="001263DF"/>
    <w:rsid w:val="001E34D1"/>
    <w:rsid w:val="001F2E44"/>
    <w:rsid w:val="001F62FF"/>
    <w:rsid w:val="002211E1"/>
    <w:rsid w:val="00255120"/>
    <w:rsid w:val="00262641"/>
    <w:rsid w:val="00284750"/>
    <w:rsid w:val="00292ED9"/>
    <w:rsid w:val="002C76E1"/>
    <w:rsid w:val="00326B58"/>
    <w:rsid w:val="003A69C9"/>
    <w:rsid w:val="003D06E3"/>
    <w:rsid w:val="00404E5B"/>
    <w:rsid w:val="00414F7B"/>
    <w:rsid w:val="00417E74"/>
    <w:rsid w:val="004355DC"/>
    <w:rsid w:val="00462101"/>
    <w:rsid w:val="004749B4"/>
    <w:rsid w:val="00494130"/>
    <w:rsid w:val="004F3523"/>
    <w:rsid w:val="005560CF"/>
    <w:rsid w:val="005648B9"/>
    <w:rsid w:val="005973B9"/>
    <w:rsid w:val="005B3A56"/>
    <w:rsid w:val="0060215B"/>
    <w:rsid w:val="006060CE"/>
    <w:rsid w:val="0063497F"/>
    <w:rsid w:val="00723CDB"/>
    <w:rsid w:val="007565FE"/>
    <w:rsid w:val="00787D0A"/>
    <w:rsid w:val="007A0779"/>
    <w:rsid w:val="008168D2"/>
    <w:rsid w:val="00873DF0"/>
    <w:rsid w:val="008756E6"/>
    <w:rsid w:val="00947D8B"/>
    <w:rsid w:val="00980643"/>
    <w:rsid w:val="009B2D44"/>
    <w:rsid w:val="009C04D6"/>
    <w:rsid w:val="009D1F81"/>
    <w:rsid w:val="009E34C2"/>
    <w:rsid w:val="00A07E82"/>
    <w:rsid w:val="00A36C2A"/>
    <w:rsid w:val="00A45079"/>
    <w:rsid w:val="00A609A1"/>
    <w:rsid w:val="00A856A3"/>
    <w:rsid w:val="00A87680"/>
    <w:rsid w:val="00A9710C"/>
    <w:rsid w:val="00AE3E37"/>
    <w:rsid w:val="00B21A57"/>
    <w:rsid w:val="00B7275E"/>
    <w:rsid w:val="00BF363B"/>
    <w:rsid w:val="00C2574F"/>
    <w:rsid w:val="00C33602"/>
    <w:rsid w:val="00CB6089"/>
    <w:rsid w:val="00CD566C"/>
    <w:rsid w:val="00CD6F55"/>
    <w:rsid w:val="00D13F0D"/>
    <w:rsid w:val="00D76386"/>
    <w:rsid w:val="00DA71BE"/>
    <w:rsid w:val="00DE3104"/>
    <w:rsid w:val="00E00FDC"/>
    <w:rsid w:val="00E61CE1"/>
    <w:rsid w:val="00EF20F6"/>
    <w:rsid w:val="00F72EEA"/>
    <w:rsid w:val="00F84C32"/>
    <w:rsid w:val="00F84CAE"/>
    <w:rsid w:val="00FD72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9543269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1991964">
      <w:bodyDiv w:val="1"/>
      <w:marLeft w:val="0"/>
      <w:marRight w:val="0"/>
      <w:marTop w:val="0"/>
      <w:marBottom w:val="0"/>
      <w:divBdr>
        <w:top w:val="none" w:sz="0" w:space="0" w:color="auto"/>
        <w:left w:val="none" w:sz="0" w:space="0" w:color="auto"/>
        <w:bottom w:val="none" w:sz="0" w:space="0" w:color="auto"/>
        <w:right w:val="none" w:sz="0" w:space="0" w:color="auto"/>
      </w:divBdr>
    </w:div>
    <w:div w:id="2104374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07/s00590-018-2338-0"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597</Words>
  <Characters>3229</Characters>
  <Application>Microsoft Office Word</Application>
  <DocSecurity>0</DocSecurity>
  <Lines>26</Lines>
  <Paragraphs>7</Paragraphs>
  <ScaleCrop>false</ScaleCrop>
  <HeadingPairs>
    <vt:vector size="6" baseType="variant">
      <vt:variant>
        <vt:lpstr>Τίτλος</vt:lpstr>
      </vt:variant>
      <vt:variant>
        <vt:i4>1</vt:i4>
      </vt:variant>
      <vt:variant>
        <vt:lpstr>Επικεφαλίδες</vt:lpstr>
      </vt:variant>
      <vt:variant>
        <vt:i4>3</vt:i4>
      </vt:variant>
      <vt:variant>
        <vt:lpstr>Title</vt:lpstr>
      </vt:variant>
      <vt:variant>
        <vt:i4>1</vt:i4>
      </vt:variant>
    </vt:vector>
  </HeadingPairs>
  <TitlesOfParts>
    <vt:vector size="5" baseType="lpstr">
      <vt:lpstr/>
      <vt:lpstr>Long term clinical evaluation after microdiscectomy for a single level lumbar di</vt:lpstr>
      <vt:lpstr>        Abstract</vt:lpstr>
      <vt:lpstr>        The purpose of this study is to evaluate the effect of lumbar microdiscectomy in</vt:lpstr>
      <vt:lpstr/>
    </vt:vector>
  </TitlesOfParts>
  <Company>Microsoft</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10</cp:revision>
  <dcterms:created xsi:type="dcterms:W3CDTF">2018-12-19T18:50:00Z</dcterms:created>
  <dcterms:modified xsi:type="dcterms:W3CDTF">2018-12-19T19:41:00Z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