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748" w:rsidRPr="00917748" w:rsidRDefault="00202B20" w:rsidP="007D6080">
      <w:pPr>
        <w:widowControl/>
        <w:tabs>
          <w:tab w:val="right" w:pos="426"/>
          <w:tab w:val="left" w:pos="1800"/>
        </w:tabs>
        <w:contextualSpacing/>
        <w:rPr>
          <w:rFonts w:cstheme="minorBidi"/>
        </w:rPr>
      </w:pPr>
      <w:r w:rsidRPr="00917748">
        <w:rPr>
          <w:rStyle w:val="fontstyle01"/>
          <w:rFonts w:ascii="Tw Cen MT" w:hAnsi="Tw Cen MT"/>
          <w:b/>
          <w:bCs/>
          <w:sz w:val="36"/>
          <w:szCs w:val="36"/>
        </w:rPr>
        <w:t>Perspectives of pharmaceutical</w:t>
      </w:r>
      <w:r w:rsidRPr="00917748">
        <w:rPr>
          <w:b/>
          <w:bCs/>
          <w:color w:val="131413"/>
          <w:sz w:val="36"/>
          <w:szCs w:val="36"/>
        </w:rPr>
        <w:t xml:space="preserve"> </w:t>
      </w:r>
      <w:r w:rsidRPr="00917748">
        <w:rPr>
          <w:rStyle w:val="fontstyle01"/>
          <w:rFonts w:ascii="Tw Cen MT" w:hAnsi="Tw Cen MT"/>
          <w:b/>
          <w:bCs/>
          <w:sz w:val="36"/>
          <w:szCs w:val="36"/>
        </w:rPr>
        <w:t>stakeholders on determinants of medicines</w:t>
      </w:r>
      <w:r w:rsidRPr="00917748">
        <w:rPr>
          <w:b/>
          <w:bCs/>
          <w:color w:val="131413"/>
          <w:sz w:val="36"/>
          <w:szCs w:val="36"/>
        </w:rPr>
        <w:t xml:space="preserve"> </w:t>
      </w:r>
      <w:r w:rsidRPr="00917748">
        <w:rPr>
          <w:rStyle w:val="fontstyle01"/>
          <w:rFonts w:ascii="Tw Cen MT" w:hAnsi="Tw Cen MT"/>
          <w:b/>
          <w:bCs/>
          <w:sz w:val="36"/>
          <w:szCs w:val="36"/>
        </w:rPr>
        <w:t>accessibility at the primary care level</w:t>
      </w:r>
      <w:r w:rsidRPr="00917748">
        <w:rPr>
          <w:b/>
          <w:bCs/>
          <w:color w:val="131413"/>
          <w:sz w:val="36"/>
          <w:szCs w:val="36"/>
        </w:rPr>
        <w:br/>
      </w:r>
      <w:r w:rsidRPr="00917748">
        <w:rPr>
          <w:rStyle w:val="fontstyle21"/>
          <w:rFonts w:ascii="Tw Cen MT" w:hAnsi="Tw Cen MT"/>
        </w:rPr>
        <w:t>Shaimaa A. M. Abd El Fatah</w:t>
      </w:r>
      <w:r w:rsidR="00917748" w:rsidRPr="00917748">
        <w:rPr>
          <w:rStyle w:val="fontstyle21"/>
          <w:rFonts w:ascii="Tw Cen MT" w:hAnsi="Tw Cen MT"/>
        </w:rPr>
        <w:t>,</w:t>
      </w:r>
      <w:r w:rsidR="00D416D4" w:rsidRPr="00917748">
        <w:rPr>
          <w:rStyle w:val="fontstyle21"/>
          <w:rFonts w:ascii="Tw Cen MT" w:hAnsi="Tw Cen MT"/>
        </w:rPr>
        <w:t xml:space="preserve"> </w:t>
      </w:r>
      <w:r w:rsidR="00D416D4" w:rsidRPr="00917748">
        <w:t>PhD</w:t>
      </w:r>
      <w:r w:rsidR="00917748" w:rsidRPr="00917748">
        <w:rPr>
          <w:sz w:val="20"/>
        </w:rPr>
        <w:t>,</w:t>
      </w:r>
      <w:r w:rsidR="00917748" w:rsidRPr="00917748">
        <w:rPr>
          <w:rFonts w:cstheme="minorBidi"/>
        </w:rPr>
        <w:t xml:space="preserve"> </w:t>
      </w:r>
      <w:r w:rsidR="007D6080">
        <w:rPr>
          <w:rFonts w:cstheme="minorBidi"/>
        </w:rPr>
        <w:t>Kasr Al-Aini</w:t>
      </w:r>
      <w:r w:rsidR="007D6080" w:rsidRPr="00917748">
        <w:rPr>
          <w:rFonts w:cstheme="minorBidi"/>
        </w:rPr>
        <w:t xml:space="preserve"> </w:t>
      </w:r>
      <w:r w:rsidR="00917748" w:rsidRPr="00917748">
        <w:rPr>
          <w:rFonts w:cstheme="minorBidi"/>
        </w:rPr>
        <w:t>Fa</w:t>
      </w:r>
      <w:r w:rsidR="007D6080">
        <w:rPr>
          <w:rFonts w:cstheme="minorBidi"/>
        </w:rPr>
        <w:t>culty of Medicine ,</w:t>
      </w:r>
      <w:r w:rsidR="00917748" w:rsidRPr="00917748">
        <w:rPr>
          <w:rFonts w:cstheme="minorBidi"/>
        </w:rPr>
        <w:t xml:space="preserve"> Cairo University, Cairo, Egypt.</w:t>
      </w:r>
    </w:p>
    <w:p w:rsidR="00AE3E37" w:rsidRPr="00202B20" w:rsidRDefault="00AE3E37" w:rsidP="00202B20">
      <w:pPr>
        <w:pStyle w:val="BodyText"/>
        <w:rPr>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135BE" w:rsidRPr="00987D22" w:rsidRDefault="007135BE" w:rsidP="007135BE">
      <w:pPr>
        <w:rPr>
          <w:sz w:val="18"/>
          <w:szCs w:val="18"/>
          <w:lang w:bidi="ar-EG"/>
        </w:rPr>
      </w:pPr>
      <w:r w:rsidRPr="00987D22">
        <w:rPr>
          <w:b/>
          <w:bCs/>
          <w:sz w:val="18"/>
          <w:szCs w:val="18"/>
        </w:rPr>
        <w:t>Statement of the Problem:</w:t>
      </w:r>
      <w:r w:rsidRPr="00987D22">
        <w:rPr>
          <w:sz w:val="18"/>
          <w:szCs w:val="18"/>
        </w:rPr>
        <w:t xml:space="preserve"> </w:t>
      </w:r>
      <w:r w:rsidRPr="00987D22">
        <w:rPr>
          <w:rStyle w:val="fontstyle21"/>
          <w:rFonts w:ascii="Tw Cen MT" w:hAnsi="Tw Cen MT"/>
          <w:sz w:val="18"/>
          <w:szCs w:val="18"/>
        </w:rPr>
        <w:t>Equitable access to essential medicines of maintained efficacy, and cost-effectiveness</w:t>
      </w:r>
      <w:r w:rsidRPr="00987D22">
        <w:rPr>
          <w:color w:val="131413"/>
          <w:sz w:val="18"/>
          <w:szCs w:val="18"/>
        </w:rPr>
        <w:t xml:space="preserve"> </w:t>
      </w:r>
      <w:r w:rsidRPr="00987D22">
        <w:rPr>
          <w:rStyle w:val="fontstyle21"/>
          <w:rFonts w:ascii="Tw Cen MT" w:hAnsi="Tw Cen MT"/>
          <w:sz w:val="18"/>
          <w:szCs w:val="18"/>
        </w:rPr>
        <w:t xml:space="preserve">must be ensured by a well-functioning health system. </w:t>
      </w:r>
      <w:r w:rsidRPr="00987D22">
        <w:rPr>
          <w:color w:val="131413"/>
          <w:sz w:val="18"/>
          <w:szCs w:val="18"/>
        </w:rPr>
        <w:t>Egypt, like many developing health systems, cannot simply measure their constraints.</w:t>
      </w:r>
      <w:r w:rsidRPr="00987D22">
        <w:rPr>
          <w:rStyle w:val="fontstyle01"/>
          <w:rFonts w:ascii="Tw Cen MT" w:hAnsi="Tw Cen MT"/>
          <w:sz w:val="18"/>
          <w:szCs w:val="18"/>
        </w:rPr>
        <w:t xml:space="preserve"> </w:t>
      </w:r>
      <w:r w:rsidRPr="00987D22">
        <w:rPr>
          <w:color w:val="131413"/>
          <w:sz w:val="18"/>
          <w:szCs w:val="18"/>
        </w:rPr>
        <w:t>Issues preventing “access to medicines for all” need to be explored and addressed.</w:t>
      </w:r>
      <w:r w:rsidRPr="00987D22">
        <w:rPr>
          <w:b/>
          <w:bCs/>
          <w:sz w:val="18"/>
          <w:szCs w:val="18"/>
        </w:rPr>
        <w:t xml:space="preserve"> The purpose of this study</w:t>
      </w:r>
      <w:r w:rsidRPr="00987D22">
        <w:rPr>
          <w:sz w:val="18"/>
          <w:szCs w:val="18"/>
        </w:rPr>
        <w:t xml:space="preserve"> is </w:t>
      </w:r>
      <w:r w:rsidRPr="00987D22">
        <w:rPr>
          <w:rStyle w:val="fontstyle21"/>
          <w:rFonts w:ascii="Tw Cen MT" w:hAnsi="Tw Cen MT"/>
          <w:sz w:val="18"/>
          <w:szCs w:val="18"/>
        </w:rPr>
        <w:t>to identify the determinants of patients</w:t>
      </w:r>
      <w:r w:rsidRPr="00987D22">
        <w:rPr>
          <w:rStyle w:val="fontstyle31"/>
          <w:rFonts w:ascii="Tw Cen MT" w:hAnsi="Tw Cen MT"/>
          <w:sz w:val="18"/>
          <w:szCs w:val="18"/>
        </w:rPr>
        <w:t>’</w:t>
      </w:r>
      <w:r w:rsidRPr="00987D22">
        <w:rPr>
          <w:rStyle w:val="fontstyle21"/>
          <w:rFonts w:ascii="Tw Cen MT" w:hAnsi="Tw Cen MT"/>
          <w:sz w:val="18"/>
          <w:szCs w:val="18"/>
        </w:rPr>
        <w:t xml:space="preserve"> access to medicines at the primary health care (PHC) level from the perspectives of various (internal and external)</w:t>
      </w:r>
      <w:r w:rsidRPr="00987D22">
        <w:rPr>
          <w:color w:val="131413"/>
          <w:sz w:val="18"/>
          <w:szCs w:val="18"/>
        </w:rPr>
        <w:t xml:space="preserve"> </w:t>
      </w:r>
      <w:r w:rsidRPr="00987D22">
        <w:rPr>
          <w:rStyle w:val="fontstyle21"/>
          <w:sz w:val="18"/>
          <w:szCs w:val="18"/>
        </w:rPr>
        <w:t xml:space="preserve">stakeholders of the </w:t>
      </w:r>
      <w:r w:rsidRPr="00987D22">
        <w:rPr>
          <w:rStyle w:val="fontstyle21"/>
          <w:rFonts w:ascii="Tw Cen MT" w:hAnsi="Tw Cen MT"/>
          <w:sz w:val="18"/>
          <w:szCs w:val="18"/>
        </w:rPr>
        <w:t>pharmaceutical system.</w:t>
      </w:r>
      <w:r w:rsidRPr="00987D22">
        <w:rPr>
          <w:b/>
          <w:bCs/>
          <w:sz w:val="18"/>
          <w:szCs w:val="18"/>
        </w:rPr>
        <w:t xml:space="preserve"> Methodology &amp; Theoretical Orientation:</w:t>
      </w:r>
      <w:r w:rsidRPr="00987D22">
        <w:rPr>
          <w:rStyle w:val="fontstyle21"/>
          <w:rFonts w:ascii="Tw Cen MT" w:hAnsi="Tw Cen MT"/>
          <w:sz w:val="18"/>
          <w:szCs w:val="18"/>
        </w:rPr>
        <w:t xml:space="preserve"> The study employed both quantitative and qualitative components. Quantitative component applied a</w:t>
      </w:r>
      <w:r w:rsidRPr="00987D22">
        <w:rPr>
          <w:color w:val="131413"/>
          <w:sz w:val="18"/>
          <w:szCs w:val="18"/>
        </w:rPr>
        <w:t xml:space="preserve"> </w:t>
      </w:r>
      <w:r w:rsidRPr="00987D22">
        <w:rPr>
          <w:rStyle w:val="fontstyle21"/>
          <w:rFonts w:ascii="Tw Cen MT" w:hAnsi="Tw Cen MT"/>
          <w:sz w:val="18"/>
          <w:szCs w:val="18"/>
        </w:rPr>
        <w:t>descriptive cross-sectional design and qualitative component applied an in-depth interview design. It was conducted at two (PHC) facilities (one urban and the other rural). It inquired upon</w:t>
      </w:r>
      <w:r w:rsidRPr="00987D22">
        <w:rPr>
          <w:color w:val="131413"/>
          <w:sz w:val="18"/>
          <w:szCs w:val="18"/>
        </w:rPr>
        <w:t xml:space="preserve"> </w:t>
      </w:r>
      <w:r w:rsidRPr="00987D22">
        <w:rPr>
          <w:rStyle w:val="fontstyle21"/>
          <w:rFonts w:ascii="Tw Cen MT" w:hAnsi="Tw Cen MT"/>
          <w:sz w:val="18"/>
          <w:szCs w:val="18"/>
        </w:rPr>
        <w:t xml:space="preserve">political, economic, and managerial aspects of the pharmaceutical system utilizing the </w:t>
      </w:r>
      <w:r w:rsidRPr="00987D22">
        <w:rPr>
          <w:rStyle w:val="fontstyle31"/>
          <w:rFonts w:ascii="Tw Cen MT" w:hAnsi="Tw Cen MT"/>
          <w:sz w:val="18"/>
          <w:szCs w:val="18"/>
        </w:rPr>
        <w:t>“</w:t>
      </w:r>
      <w:r w:rsidRPr="00987D22">
        <w:rPr>
          <w:rStyle w:val="fontstyle21"/>
          <w:rFonts w:ascii="Tw Cen MT" w:hAnsi="Tw Cen MT"/>
          <w:sz w:val="18"/>
          <w:szCs w:val="18"/>
        </w:rPr>
        <w:t>Health System Assessment</w:t>
      </w:r>
      <w:r w:rsidRPr="00987D22">
        <w:rPr>
          <w:color w:val="131413"/>
          <w:sz w:val="18"/>
          <w:szCs w:val="18"/>
        </w:rPr>
        <w:t xml:space="preserve"> </w:t>
      </w:r>
      <w:r w:rsidRPr="00987D22">
        <w:rPr>
          <w:rStyle w:val="fontstyle21"/>
          <w:rFonts w:ascii="Tw Cen MT" w:hAnsi="Tw Cen MT"/>
          <w:sz w:val="18"/>
          <w:szCs w:val="18"/>
        </w:rPr>
        <w:t>Approach: a How-To Manual</w:t>
      </w:r>
      <w:r w:rsidRPr="00987D22">
        <w:rPr>
          <w:rStyle w:val="fontstyle31"/>
          <w:rFonts w:ascii="Tw Cen MT" w:hAnsi="Tw Cen MT"/>
          <w:sz w:val="18"/>
          <w:szCs w:val="18"/>
        </w:rPr>
        <w:t xml:space="preserve">” </w:t>
      </w:r>
      <w:r w:rsidRPr="00987D22">
        <w:rPr>
          <w:rStyle w:val="fontstyle21"/>
          <w:rFonts w:ascii="Tw Cen MT" w:hAnsi="Tw Cen MT"/>
          <w:sz w:val="18"/>
          <w:szCs w:val="18"/>
        </w:rPr>
        <w:t xml:space="preserve">and the </w:t>
      </w:r>
      <w:r w:rsidRPr="00987D22">
        <w:rPr>
          <w:rStyle w:val="fontstyle31"/>
          <w:rFonts w:ascii="Tw Cen MT" w:hAnsi="Tw Cen MT"/>
          <w:sz w:val="18"/>
          <w:szCs w:val="18"/>
        </w:rPr>
        <w:t>“</w:t>
      </w:r>
      <w:r w:rsidRPr="00987D22">
        <w:rPr>
          <w:rStyle w:val="fontstyle21"/>
          <w:rFonts w:ascii="Tw Cen MT" w:hAnsi="Tw Cen MT"/>
          <w:sz w:val="18"/>
          <w:szCs w:val="18"/>
        </w:rPr>
        <w:t>WHO operational package for assessing, monitoring and evaluating country</w:t>
      </w:r>
      <w:r w:rsidRPr="00987D22">
        <w:rPr>
          <w:color w:val="131413"/>
          <w:sz w:val="18"/>
          <w:szCs w:val="18"/>
        </w:rPr>
        <w:t xml:space="preserve"> </w:t>
      </w:r>
      <w:r w:rsidRPr="00987D22">
        <w:rPr>
          <w:rStyle w:val="fontstyle21"/>
          <w:rFonts w:ascii="Tw Cen MT" w:hAnsi="Tw Cen MT"/>
          <w:sz w:val="18"/>
          <w:szCs w:val="18"/>
        </w:rPr>
        <w:t>pharmaceutical situations.</w:t>
      </w:r>
      <w:r w:rsidRPr="00987D22">
        <w:rPr>
          <w:rStyle w:val="fontstyle31"/>
          <w:rFonts w:ascii="Tw Cen MT" w:hAnsi="Tw Cen MT"/>
          <w:sz w:val="18"/>
          <w:szCs w:val="18"/>
        </w:rPr>
        <w:t>”</w:t>
      </w:r>
      <w:r w:rsidRPr="00987D22">
        <w:rPr>
          <w:color w:val="131413"/>
          <w:sz w:val="18"/>
          <w:szCs w:val="18"/>
        </w:rPr>
        <w:t xml:space="preserve"> </w:t>
      </w:r>
      <w:r w:rsidRPr="00987D22">
        <w:rPr>
          <w:b/>
          <w:bCs/>
          <w:sz w:val="18"/>
          <w:szCs w:val="18"/>
        </w:rPr>
        <w:t>Findings:</w:t>
      </w:r>
      <w:r w:rsidRPr="00987D22">
        <w:rPr>
          <w:rStyle w:val="fontstyle21"/>
          <w:rFonts w:ascii="Tw Cen MT" w:hAnsi="Tw Cen MT"/>
          <w:sz w:val="18"/>
          <w:szCs w:val="18"/>
        </w:rPr>
        <w:t xml:space="preserve"> Analysis of the quantitative data extracted from the external stakeholders</w:t>
      </w:r>
      <w:r w:rsidRPr="00987D22">
        <w:rPr>
          <w:color w:val="131413"/>
          <w:sz w:val="18"/>
          <w:szCs w:val="18"/>
        </w:rPr>
        <w:t xml:space="preserve"> </w:t>
      </w:r>
      <w:r w:rsidRPr="00987D22">
        <w:rPr>
          <w:rStyle w:val="fontstyle21"/>
          <w:rFonts w:ascii="Tw Cen MT" w:hAnsi="Tw Cen MT"/>
          <w:sz w:val="18"/>
          <w:szCs w:val="18"/>
        </w:rPr>
        <w:t>(patients) revealed that about one-third of patients in both facilities were unable to pay for the medicine. Patients</w:t>
      </w:r>
      <w:r w:rsidRPr="00987D22">
        <w:rPr>
          <w:color w:val="131413"/>
          <w:sz w:val="18"/>
          <w:szCs w:val="18"/>
        </w:rPr>
        <w:t xml:space="preserve"> </w:t>
      </w:r>
      <w:r w:rsidRPr="00987D22">
        <w:rPr>
          <w:rStyle w:val="fontstyle21"/>
          <w:rFonts w:ascii="Tw Cen MT" w:hAnsi="Tw Cen MT"/>
          <w:sz w:val="18"/>
          <w:szCs w:val="18"/>
        </w:rPr>
        <w:t>in both settings took less than an hour to reach the PHC facility. The Percent of patients who believe that</w:t>
      </w:r>
      <w:r w:rsidRPr="00987D22">
        <w:rPr>
          <w:color w:val="131413"/>
          <w:sz w:val="18"/>
          <w:szCs w:val="18"/>
        </w:rPr>
        <w:t xml:space="preserve"> </w:t>
      </w:r>
      <w:r w:rsidRPr="00987D22">
        <w:rPr>
          <w:rStyle w:val="fontstyle21"/>
          <w:rFonts w:ascii="Tw Cen MT" w:hAnsi="Tw Cen MT"/>
          <w:sz w:val="18"/>
          <w:szCs w:val="18"/>
        </w:rPr>
        <w:t>the private pharmacies</w:t>
      </w:r>
      <w:r w:rsidRPr="00987D22">
        <w:rPr>
          <w:rStyle w:val="fontstyle31"/>
          <w:rFonts w:ascii="Tw Cen MT" w:hAnsi="Tw Cen MT"/>
          <w:sz w:val="18"/>
          <w:szCs w:val="18"/>
        </w:rPr>
        <w:t xml:space="preserve">’ </w:t>
      </w:r>
      <w:r w:rsidRPr="00987D22">
        <w:rPr>
          <w:rStyle w:val="fontstyle21"/>
          <w:rFonts w:ascii="Tw Cen MT" w:hAnsi="Tw Cen MT"/>
          <w:sz w:val="18"/>
          <w:szCs w:val="18"/>
        </w:rPr>
        <w:t>medicine is better than the PHC one was significantly higher in rural than urban group</w:t>
      </w:r>
      <w:r w:rsidRPr="00987D22">
        <w:rPr>
          <w:color w:val="131413"/>
          <w:sz w:val="18"/>
          <w:szCs w:val="18"/>
        </w:rPr>
        <w:t xml:space="preserve"> </w:t>
      </w:r>
      <w:r w:rsidRPr="00987D22">
        <w:rPr>
          <w:rStyle w:val="fontstyle21"/>
          <w:rFonts w:ascii="Tw Cen MT" w:hAnsi="Tw Cen MT"/>
          <w:sz w:val="18"/>
          <w:szCs w:val="18"/>
        </w:rPr>
        <w:t>(24% and 10% respectively) and the percent of medicines dispensed was 50% and 66.7% in rural and urban groups</w:t>
      </w:r>
      <w:r w:rsidRPr="00987D22">
        <w:rPr>
          <w:color w:val="131413"/>
          <w:sz w:val="18"/>
          <w:szCs w:val="18"/>
        </w:rPr>
        <w:t xml:space="preserve"> </w:t>
      </w:r>
      <w:r w:rsidRPr="00987D22">
        <w:rPr>
          <w:rStyle w:val="fontstyle21"/>
          <w:rFonts w:ascii="Tw Cen MT" w:hAnsi="Tw Cen MT"/>
          <w:sz w:val="18"/>
          <w:szCs w:val="18"/>
        </w:rPr>
        <w:t>respectively. Analysis of the qualitative data with internal stakeholders (key informants from regulatory agencies, pharmaceutical industry, academia, pharmacists, and physicians) were</w:t>
      </w:r>
      <w:r w:rsidRPr="00987D22">
        <w:rPr>
          <w:color w:val="131413"/>
          <w:sz w:val="18"/>
          <w:szCs w:val="18"/>
        </w:rPr>
        <w:t xml:space="preserve"> </w:t>
      </w:r>
      <w:r w:rsidRPr="00987D22">
        <w:rPr>
          <w:rStyle w:val="fontstyle21"/>
          <w:rFonts w:ascii="Tw Cen MT" w:hAnsi="Tw Cen MT"/>
          <w:sz w:val="18"/>
          <w:szCs w:val="18"/>
        </w:rPr>
        <w:t xml:space="preserve">summarized utilizing Strengths-Weaknesses-Opportunities-Challenges (SWOC) analysis approach. </w:t>
      </w:r>
      <w:r w:rsidRPr="00987D22">
        <w:rPr>
          <w:sz w:val="18"/>
          <w:szCs w:val="18"/>
        </w:rPr>
        <w:t xml:space="preserve"> </w:t>
      </w:r>
      <w:r w:rsidRPr="00987D22">
        <w:rPr>
          <w:b/>
          <w:bCs/>
          <w:sz w:val="18"/>
          <w:szCs w:val="18"/>
        </w:rPr>
        <w:t>Conclusion &amp; Significance:</w:t>
      </w:r>
      <w:r w:rsidRPr="00987D22">
        <w:rPr>
          <w:rStyle w:val="fontstyle21"/>
          <w:rFonts w:ascii="Tw Cen MT" w:hAnsi="Tw Cen MT"/>
          <w:sz w:val="18"/>
          <w:szCs w:val="18"/>
        </w:rPr>
        <w:t xml:space="preserve"> There is a need</w:t>
      </w:r>
      <w:r w:rsidRPr="00987D22">
        <w:rPr>
          <w:color w:val="131413"/>
          <w:sz w:val="18"/>
          <w:szCs w:val="18"/>
        </w:rPr>
        <w:t xml:space="preserve"> </w:t>
      </w:r>
      <w:r w:rsidRPr="00987D22">
        <w:rPr>
          <w:rStyle w:val="fontstyle21"/>
          <w:rFonts w:ascii="Tw Cen MT" w:hAnsi="Tw Cen MT"/>
          <w:sz w:val="18"/>
          <w:szCs w:val="18"/>
        </w:rPr>
        <w:t>to invest in building trust in generic medicine quality in the government health facilities focusing on improving</w:t>
      </w:r>
      <w:r w:rsidRPr="00987D22">
        <w:rPr>
          <w:color w:val="131413"/>
          <w:sz w:val="18"/>
          <w:szCs w:val="18"/>
        </w:rPr>
        <w:t xml:space="preserve"> </w:t>
      </w:r>
      <w:r w:rsidRPr="00987D22">
        <w:rPr>
          <w:rStyle w:val="fontstyle21"/>
          <w:rFonts w:ascii="Tw Cen MT" w:hAnsi="Tw Cen MT"/>
          <w:sz w:val="18"/>
          <w:szCs w:val="18"/>
        </w:rPr>
        <w:t>medicine availability and ensuring enough amounts of high-quality drugs. Although there are drug committees in</w:t>
      </w:r>
      <w:r w:rsidRPr="00987D22">
        <w:rPr>
          <w:color w:val="131413"/>
          <w:sz w:val="18"/>
          <w:szCs w:val="18"/>
        </w:rPr>
        <w:t xml:space="preserve"> </w:t>
      </w:r>
      <w:r w:rsidRPr="00987D22">
        <w:rPr>
          <w:rStyle w:val="fontstyle21"/>
          <w:rFonts w:ascii="Tw Cen MT" w:hAnsi="Tw Cen MT"/>
          <w:sz w:val="18"/>
          <w:szCs w:val="18"/>
        </w:rPr>
        <w:t>the two studied PHC facilities for demonstrating the prescribing and dispensing policies, yet the system required to</w:t>
      </w:r>
      <w:r w:rsidRPr="00987D22">
        <w:rPr>
          <w:color w:val="131413"/>
          <w:sz w:val="18"/>
          <w:szCs w:val="18"/>
        </w:rPr>
        <w:t xml:space="preserve"> </w:t>
      </w:r>
      <w:r w:rsidRPr="00987D22">
        <w:rPr>
          <w:rStyle w:val="fontstyle21"/>
          <w:rFonts w:ascii="Tw Cen MT" w:hAnsi="Tw Cen MT"/>
          <w:sz w:val="18"/>
          <w:szCs w:val="18"/>
        </w:rPr>
        <w:t>enforce these policies is still deficient.</w:t>
      </w:r>
    </w:p>
    <w:p w:rsidR="00AE3E37" w:rsidRPr="00D416D4" w:rsidRDefault="00AE3E37" w:rsidP="00AC6D61">
      <w:pPr>
        <w:pStyle w:val="BodyText"/>
        <w:spacing w:before="90" w:line="280" w:lineRule="auto"/>
        <w:ind w:left="100"/>
        <w:jc w:val="both"/>
      </w:pPr>
    </w:p>
    <w:p w:rsidR="00AE3E37" w:rsidRPr="00D416D4" w:rsidRDefault="00A9710C">
      <w:pPr>
        <w:pStyle w:val="Heading3"/>
        <w:spacing w:before="74"/>
        <w:rPr>
          <w:rFonts w:ascii="Tw Cen MT" w:hAnsi="Tw Cen MT"/>
          <w:sz w:val="18"/>
          <w:szCs w:val="18"/>
        </w:rPr>
      </w:pPr>
      <w:r w:rsidRPr="00D416D4">
        <w:rPr>
          <w:rFonts w:ascii="Tw Cen MT" w:hAnsi="Tw Cen MT"/>
          <w:b w:val="0"/>
          <w:sz w:val="18"/>
          <w:szCs w:val="18"/>
        </w:rPr>
        <w:br w:type="column"/>
      </w:r>
      <w:r w:rsidRPr="00D416D4">
        <w:rPr>
          <w:rFonts w:ascii="Tw Cen MT" w:hAnsi="Tw Cen MT"/>
          <w:color w:val="BF5A14"/>
          <w:sz w:val="18"/>
          <w:szCs w:val="18"/>
        </w:rPr>
        <w:lastRenderedPageBreak/>
        <w:t>Image</w:t>
      </w:r>
    </w:p>
    <w:p w:rsidR="00AE3E37" w:rsidRPr="00D416D4" w:rsidRDefault="00917748">
      <w:pPr>
        <w:pStyle w:val="BodyText"/>
        <w:spacing w:before="2"/>
        <w:rPr>
          <w:b/>
        </w:rPr>
      </w:pPr>
      <w:r>
        <w:rPr>
          <w:b/>
          <w:noProof/>
        </w:rPr>
        <w:drawing>
          <wp:inline distT="0" distB="0" distL="0" distR="0">
            <wp:extent cx="3163062" cy="4103827"/>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165475" cy="4106958"/>
                    </a:xfrm>
                    <a:prstGeom prst="rect">
                      <a:avLst/>
                    </a:prstGeom>
                    <a:noFill/>
                    <a:ln w="9525">
                      <a:noFill/>
                      <a:miter lim="800000"/>
                      <a:headEnd/>
                      <a:tailEnd/>
                    </a:ln>
                  </pic:spPr>
                </pic:pic>
              </a:graphicData>
            </a:graphic>
          </wp:inline>
        </w:drawing>
      </w:r>
    </w:p>
    <w:p w:rsidR="005973B9" w:rsidRPr="00D416D4" w:rsidRDefault="005973B9" w:rsidP="005973B9">
      <w:pPr>
        <w:spacing w:line="204" w:lineRule="exact"/>
        <w:rPr>
          <w:b/>
          <w:sz w:val="18"/>
          <w:szCs w:val="18"/>
        </w:rPr>
      </w:pPr>
      <w:r w:rsidRPr="00D416D4">
        <w:rPr>
          <w:b/>
          <w:color w:val="BF5A14"/>
          <w:sz w:val="18"/>
          <w:szCs w:val="18"/>
        </w:rPr>
        <w:br/>
        <w:t>Recent Publications (minimum 5)</w:t>
      </w:r>
    </w:p>
    <w:p w:rsidR="00917748" w:rsidRPr="00917748" w:rsidRDefault="00917748" w:rsidP="00917748">
      <w:pPr>
        <w:pStyle w:val="ListParagraph"/>
        <w:widowControl/>
        <w:numPr>
          <w:ilvl w:val="0"/>
          <w:numId w:val="4"/>
        </w:numPr>
        <w:spacing w:before="0" w:line="240" w:lineRule="auto"/>
        <w:ind w:left="426" w:firstLine="0"/>
        <w:contextualSpacing/>
        <w:jc w:val="left"/>
        <w:rPr>
          <w:rFonts w:ascii="Tw Cen MT" w:hAnsi="Tw Cen MT" w:cstheme="minorBidi"/>
          <w:sz w:val="18"/>
          <w:szCs w:val="18"/>
        </w:rPr>
      </w:pPr>
      <w:r w:rsidRPr="00917748">
        <w:rPr>
          <w:rFonts w:ascii="Tw Cen MT" w:eastAsiaTheme="minorEastAsia" w:hAnsi="Tw Cen MT" w:cstheme="minorBidi"/>
          <w:color w:val="000000"/>
          <w:sz w:val="18"/>
          <w:szCs w:val="18"/>
        </w:rPr>
        <w:t xml:space="preserve">The relationship between health care providers' perceived work climate, organizational commitment, and caring efficacy at pediatric intensive care units, Cairo University. </w:t>
      </w:r>
      <w:r w:rsidRPr="00917748">
        <w:rPr>
          <w:rFonts w:ascii="Tw Cen MT" w:hAnsi="Tw Cen MT" w:cstheme="minorBidi"/>
          <w:sz w:val="18"/>
          <w:szCs w:val="18"/>
        </w:rPr>
        <w:t xml:space="preserve">[Original article] </w:t>
      </w:r>
      <w:r w:rsidRPr="00917748">
        <w:rPr>
          <w:rFonts w:ascii="Tw Cen MT" w:eastAsiaTheme="minorEastAsia" w:hAnsi="Tw Cen MT" w:cstheme="minorBidi"/>
          <w:color w:val="000000"/>
          <w:sz w:val="18"/>
          <w:szCs w:val="18"/>
        </w:rPr>
        <w:t xml:space="preserve">Int J Health Plann Mgmt. 2020;35: 469–481. </w:t>
      </w:r>
      <w:hyperlink r:id="rId9" w:history="1">
        <w:r w:rsidRPr="00917748">
          <w:rPr>
            <w:rStyle w:val="Hyperlink"/>
            <w:rFonts w:ascii="Tw Cen MT" w:eastAsiaTheme="minorEastAsia" w:hAnsi="Tw Cen MT" w:cstheme="minorBidi"/>
            <w:sz w:val="18"/>
            <w:szCs w:val="18"/>
          </w:rPr>
          <w:t>https://doi.org/10.1002/hpm.2920</w:t>
        </w:r>
      </w:hyperlink>
      <w:r w:rsidRPr="00917748">
        <w:rPr>
          <w:rFonts w:ascii="Tw Cen MT" w:eastAsiaTheme="minorEastAsia" w:hAnsi="Tw Cen MT" w:cstheme="minorBidi"/>
          <w:color w:val="01549D"/>
          <w:sz w:val="18"/>
          <w:szCs w:val="18"/>
        </w:rPr>
        <w:t xml:space="preserve"> </w:t>
      </w:r>
    </w:p>
    <w:p w:rsidR="00917748" w:rsidRPr="00917748" w:rsidRDefault="00917748" w:rsidP="00917748">
      <w:pPr>
        <w:pStyle w:val="ListParagraph"/>
        <w:widowControl/>
        <w:numPr>
          <w:ilvl w:val="0"/>
          <w:numId w:val="4"/>
        </w:numPr>
        <w:spacing w:before="0" w:line="240" w:lineRule="auto"/>
        <w:ind w:left="426" w:firstLine="0"/>
        <w:contextualSpacing/>
        <w:jc w:val="left"/>
        <w:rPr>
          <w:rFonts w:ascii="Tw Cen MT" w:hAnsi="Tw Cen MT" w:cstheme="minorBidi"/>
          <w:sz w:val="18"/>
          <w:szCs w:val="18"/>
        </w:rPr>
      </w:pPr>
      <w:r w:rsidRPr="00917748">
        <w:rPr>
          <w:rFonts w:ascii="Tw Cen MT" w:eastAsiaTheme="minorEastAsia" w:hAnsi="Tw Cen MT" w:cstheme="minorBidi"/>
          <w:color w:val="242021"/>
          <w:sz w:val="18"/>
          <w:szCs w:val="18"/>
        </w:rPr>
        <w:t xml:space="preserve">Knowledge, Attitude, and Behavior of Egyptian Medical Students Toward the Novel </w:t>
      </w:r>
      <w:r>
        <w:rPr>
          <w:rFonts w:ascii="Tw Cen MT" w:eastAsiaTheme="minorEastAsia" w:hAnsi="Tw Cen MT" w:cstheme="minorBidi"/>
          <w:color w:val="242021"/>
          <w:sz w:val="18"/>
          <w:szCs w:val="18"/>
        </w:rPr>
        <w:t xml:space="preserve">Coronavirus Disease-19: A Cross </w:t>
      </w:r>
      <w:r w:rsidRPr="00917748">
        <w:rPr>
          <w:rFonts w:ascii="Tw Cen MT" w:eastAsiaTheme="minorEastAsia" w:hAnsi="Tw Cen MT" w:cstheme="minorBidi"/>
          <w:color w:val="242021"/>
          <w:sz w:val="18"/>
          <w:szCs w:val="18"/>
        </w:rPr>
        <w:t>Sectional Study.</w:t>
      </w:r>
      <w:r w:rsidRPr="00917748">
        <w:rPr>
          <w:rFonts w:ascii="Tw Cen MT" w:hAnsi="Tw Cen MT" w:cstheme="minorBidi"/>
          <w:sz w:val="18"/>
          <w:szCs w:val="18"/>
        </w:rPr>
        <w:t xml:space="preserve"> [Original article] </w:t>
      </w:r>
      <w:r w:rsidRPr="00917748">
        <w:rPr>
          <w:rFonts w:ascii="Tw Cen MT" w:eastAsiaTheme="minorEastAsia" w:hAnsi="Tw Cen MT" w:cstheme="minorBidi"/>
          <w:color w:val="242021"/>
          <w:sz w:val="18"/>
          <w:szCs w:val="18"/>
        </w:rPr>
        <w:t>Open Access Macedonian Journal of Medical Sciences. 2020 Nov 07; 8(T1):443-450.</w:t>
      </w:r>
      <w:r w:rsidRPr="00917748">
        <w:rPr>
          <w:rFonts w:ascii="Tw Cen MT" w:eastAsiaTheme="minorEastAsia" w:hAnsi="Tw Cen MT" w:cstheme="minorBidi"/>
          <w:color w:val="242021"/>
          <w:sz w:val="18"/>
          <w:szCs w:val="18"/>
        </w:rPr>
        <w:br/>
      </w:r>
      <w:hyperlink r:id="rId10" w:history="1">
        <w:r w:rsidRPr="00917748">
          <w:rPr>
            <w:rStyle w:val="Hyperlink"/>
            <w:rFonts w:ascii="Tw Cen MT" w:eastAsiaTheme="minorEastAsia" w:hAnsi="Tw Cen MT" w:cstheme="minorBidi"/>
            <w:sz w:val="18"/>
            <w:szCs w:val="18"/>
          </w:rPr>
          <w:t>https://doi.org/10.3889/oamjms.2020.5279</w:t>
        </w:r>
      </w:hyperlink>
      <w:r w:rsidRPr="00917748">
        <w:rPr>
          <w:rFonts w:ascii="Tw Cen MT" w:hAnsi="Tw Cen MT" w:cstheme="minorBidi"/>
          <w:sz w:val="18"/>
          <w:szCs w:val="18"/>
        </w:rPr>
        <w:t xml:space="preserve"> </w:t>
      </w:r>
    </w:p>
    <w:p w:rsidR="00917748" w:rsidRPr="00917748" w:rsidRDefault="00917748" w:rsidP="00917748">
      <w:pPr>
        <w:pStyle w:val="ListParagraph"/>
        <w:widowControl/>
        <w:numPr>
          <w:ilvl w:val="0"/>
          <w:numId w:val="4"/>
        </w:numPr>
        <w:spacing w:before="0" w:line="240" w:lineRule="auto"/>
        <w:ind w:left="426" w:firstLine="0"/>
        <w:contextualSpacing/>
        <w:jc w:val="left"/>
        <w:rPr>
          <w:rFonts w:ascii="Tw Cen MT" w:hAnsi="Tw Cen MT" w:cs="Arial"/>
          <w:sz w:val="18"/>
          <w:szCs w:val="18"/>
        </w:rPr>
      </w:pPr>
      <w:r w:rsidRPr="00917748">
        <w:rPr>
          <w:rFonts w:ascii="Tw Cen MT" w:eastAsiaTheme="minorEastAsia" w:hAnsi="Tw Cen MT" w:cs="Arial"/>
          <w:color w:val="131413"/>
          <w:sz w:val="18"/>
          <w:szCs w:val="18"/>
        </w:rPr>
        <w:t>Perspectives of pharmaceutical stakeholde</w:t>
      </w:r>
      <w:r>
        <w:rPr>
          <w:rFonts w:ascii="Tw Cen MT" w:eastAsiaTheme="minorEastAsia" w:hAnsi="Tw Cen MT" w:cs="Arial"/>
          <w:color w:val="131413"/>
          <w:sz w:val="18"/>
          <w:szCs w:val="18"/>
        </w:rPr>
        <w:t xml:space="preserve">rs on determinants of medicines </w:t>
      </w:r>
      <w:r w:rsidRPr="00917748">
        <w:rPr>
          <w:rFonts w:ascii="Tw Cen MT" w:eastAsiaTheme="minorEastAsia" w:hAnsi="Tw Cen MT" w:cs="Arial"/>
          <w:color w:val="131413"/>
          <w:sz w:val="18"/>
          <w:szCs w:val="18"/>
        </w:rPr>
        <w:t>accessibility at the primary care level</w:t>
      </w:r>
      <w:r w:rsidRPr="00917748">
        <w:rPr>
          <w:rFonts w:ascii="Tw Cen MT" w:hAnsi="Tw Cen MT" w:cs="Arial"/>
          <w:sz w:val="18"/>
          <w:szCs w:val="18"/>
        </w:rPr>
        <w:t>.</w:t>
      </w:r>
      <w:r w:rsidRPr="00917748">
        <w:rPr>
          <w:rFonts w:ascii="Tw Cen MT" w:hAnsi="Tw Cen MT"/>
          <w:sz w:val="18"/>
          <w:szCs w:val="18"/>
        </w:rPr>
        <w:t xml:space="preserve"> [Original article] Journal of the Egyptian Public Health Association</w:t>
      </w:r>
      <w:r w:rsidRPr="00917748">
        <w:rPr>
          <w:rFonts w:ascii="Tw Cen MT" w:hAnsi="Tw Cen MT" w:cstheme="minorBidi"/>
          <w:sz w:val="18"/>
          <w:szCs w:val="18"/>
        </w:rPr>
        <w:t xml:space="preserve">, </w:t>
      </w:r>
      <w:r w:rsidRPr="00917748">
        <w:rPr>
          <w:rFonts w:ascii="Tw Cen MT" w:eastAsiaTheme="minorEastAsia" w:hAnsi="Tw Cen MT" w:cstheme="minorBidi"/>
          <w:color w:val="131413"/>
          <w:sz w:val="18"/>
          <w:szCs w:val="18"/>
        </w:rPr>
        <w:t>(2021) 96:1</w:t>
      </w:r>
      <w:r w:rsidRPr="00917748">
        <w:rPr>
          <w:rFonts w:ascii="Tw Cen MT" w:eastAsiaTheme="minorEastAsia" w:hAnsi="Tw Cen MT" w:cstheme="minorBidi"/>
          <w:sz w:val="18"/>
          <w:szCs w:val="18"/>
        </w:rPr>
        <w:t xml:space="preserve"> </w:t>
      </w:r>
      <w:hyperlink r:id="rId11" w:history="1">
        <w:r w:rsidRPr="00917748">
          <w:rPr>
            <w:rStyle w:val="Hyperlink"/>
            <w:rFonts w:ascii="Tw Cen MT" w:eastAsiaTheme="minorEastAsia" w:hAnsi="Tw Cen MT" w:cstheme="minorBidi"/>
            <w:sz w:val="18"/>
            <w:szCs w:val="18"/>
          </w:rPr>
          <w:t>https://doi.org/10.1186/s42506-020-00062-x</w:t>
        </w:r>
      </w:hyperlink>
      <w:r w:rsidRPr="00917748">
        <w:rPr>
          <w:rFonts w:ascii="Tw Cen MT" w:hAnsi="Tw Cen MT" w:cs="Arial"/>
          <w:sz w:val="18"/>
          <w:szCs w:val="18"/>
        </w:rPr>
        <w:t xml:space="preserve"> </w:t>
      </w:r>
    </w:p>
    <w:p w:rsidR="00917748" w:rsidRPr="00917748" w:rsidRDefault="00917748" w:rsidP="00917748">
      <w:pPr>
        <w:pStyle w:val="ListParagraph"/>
        <w:widowControl/>
        <w:numPr>
          <w:ilvl w:val="0"/>
          <w:numId w:val="4"/>
        </w:numPr>
        <w:spacing w:before="0" w:line="240" w:lineRule="auto"/>
        <w:ind w:left="426" w:firstLine="0"/>
        <w:contextualSpacing/>
        <w:jc w:val="left"/>
        <w:rPr>
          <w:rFonts w:ascii="Tw Cen MT" w:hAnsi="Tw Cen MT" w:cstheme="minorBidi"/>
          <w:sz w:val="18"/>
          <w:szCs w:val="18"/>
        </w:rPr>
      </w:pPr>
      <w:r w:rsidRPr="00917748">
        <w:rPr>
          <w:rFonts w:ascii="Tw Cen MT" w:eastAsiaTheme="minorEastAsia" w:hAnsi="Tw Cen MT" w:cstheme="minorBidi"/>
          <w:color w:val="000000"/>
          <w:sz w:val="18"/>
          <w:szCs w:val="18"/>
        </w:rPr>
        <w:t>Multifarious experiences of women drivers post-car accidents:</w:t>
      </w:r>
      <w:r>
        <w:rPr>
          <w:rFonts w:ascii="Tw Cen MT" w:eastAsiaTheme="minorEastAsia" w:hAnsi="Tw Cen MT" w:cstheme="minorBidi"/>
          <w:color w:val="000000"/>
          <w:sz w:val="18"/>
          <w:szCs w:val="18"/>
        </w:rPr>
        <w:t xml:space="preserve"> An urban </w:t>
      </w:r>
      <w:r w:rsidRPr="00917748">
        <w:rPr>
          <w:rFonts w:ascii="Tw Cen MT" w:eastAsiaTheme="minorEastAsia" w:hAnsi="Tw Cen MT" w:cstheme="minorBidi"/>
          <w:color w:val="000000"/>
          <w:sz w:val="18"/>
          <w:szCs w:val="18"/>
        </w:rPr>
        <w:t>community experience</w:t>
      </w:r>
      <w:r w:rsidRPr="00917748">
        <w:rPr>
          <w:rFonts w:ascii="Tw Cen MT" w:hAnsi="Tw Cen MT" w:cstheme="minorBidi"/>
          <w:sz w:val="18"/>
          <w:szCs w:val="18"/>
        </w:rPr>
        <w:t>.</w:t>
      </w:r>
      <w:r w:rsidRPr="00917748">
        <w:rPr>
          <w:rFonts w:ascii="Tw Cen MT" w:hAnsi="Tw Cen MT"/>
          <w:sz w:val="18"/>
          <w:szCs w:val="18"/>
        </w:rPr>
        <w:t xml:space="preserve"> [Original article] </w:t>
      </w:r>
      <w:r w:rsidRPr="00917748">
        <w:rPr>
          <w:rFonts w:ascii="Tw Cen MT" w:eastAsiaTheme="minorEastAsia" w:hAnsi="Tw Cen MT" w:cstheme="minorBidi"/>
          <w:sz w:val="18"/>
          <w:szCs w:val="18"/>
        </w:rPr>
        <w:t>Women’s Studies International Forum, 85 (2021) 102449</w:t>
      </w:r>
      <w:r w:rsidRPr="00917748">
        <w:rPr>
          <w:rFonts w:ascii="Tw Cen MT" w:hAnsi="Tw Cen MT" w:cstheme="minorBidi"/>
          <w:sz w:val="18"/>
          <w:szCs w:val="18"/>
        </w:rPr>
        <w:t>.</w:t>
      </w:r>
      <w:r w:rsidRPr="00917748">
        <w:rPr>
          <w:rFonts w:ascii="Tw Cen MT" w:hAnsi="Tw Cen MT"/>
          <w:sz w:val="18"/>
          <w:szCs w:val="18"/>
        </w:rPr>
        <w:t xml:space="preserve"> </w:t>
      </w:r>
      <w:hyperlink r:id="rId12" w:history="1">
        <w:r w:rsidRPr="00917748">
          <w:rPr>
            <w:rStyle w:val="Hyperlink"/>
            <w:rFonts w:ascii="Tw Cen MT" w:hAnsi="Tw Cen MT" w:cstheme="minorBidi"/>
            <w:sz w:val="18"/>
            <w:szCs w:val="18"/>
          </w:rPr>
          <w:t>https://doi.org/10.1016/j.wsif.2021.102449</w:t>
        </w:r>
      </w:hyperlink>
      <w:r w:rsidRPr="00917748">
        <w:rPr>
          <w:rFonts w:ascii="Tw Cen MT" w:hAnsi="Tw Cen MT" w:cstheme="minorBidi"/>
          <w:sz w:val="18"/>
          <w:szCs w:val="18"/>
        </w:rPr>
        <w:t xml:space="preserve"> </w:t>
      </w:r>
    </w:p>
    <w:p w:rsidR="00917748" w:rsidRPr="00917748" w:rsidRDefault="00917748" w:rsidP="00917748">
      <w:pPr>
        <w:pStyle w:val="ListParagraph"/>
        <w:widowControl/>
        <w:numPr>
          <w:ilvl w:val="0"/>
          <w:numId w:val="4"/>
        </w:numPr>
        <w:spacing w:before="0" w:line="240" w:lineRule="auto"/>
        <w:ind w:left="426" w:firstLine="0"/>
        <w:contextualSpacing/>
        <w:jc w:val="left"/>
        <w:rPr>
          <w:rFonts w:ascii="Tw Cen MT" w:hAnsi="Tw Cen MT" w:cstheme="minorBidi"/>
          <w:sz w:val="18"/>
          <w:szCs w:val="18"/>
        </w:rPr>
      </w:pPr>
      <w:r w:rsidRPr="00917748">
        <w:rPr>
          <w:rFonts w:ascii="Tw Cen MT" w:eastAsiaTheme="minorEastAsia" w:hAnsi="Tw Cen MT" w:cstheme="minorBidi"/>
          <w:color w:val="242021"/>
          <w:sz w:val="18"/>
          <w:szCs w:val="18"/>
        </w:rPr>
        <w:t>Vitamin D supplementation and improvement of pneumonic children at a tertiary pediatric hospital in Egypt</w:t>
      </w:r>
      <w:r w:rsidRPr="00917748">
        <w:rPr>
          <w:rFonts w:ascii="Tw Cen MT" w:hAnsi="Tw Cen MT" w:cstheme="minorBidi"/>
          <w:sz w:val="18"/>
          <w:szCs w:val="18"/>
        </w:rPr>
        <w:t>.</w:t>
      </w:r>
      <w:r w:rsidRPr="00917748">
        <w:rPr>
          <w:rFonts w:ascii="Tw Cen MT" w:hAnsi="Tw Cen MT"/>
          <w:sz w:val="18"/>
          <w:szCs w:val="18"/>
        </w:rPr>
        <w:t xml:space="preserve"> [Original article</w:t>
      </w:r>
      <w:r w:rsidRPr="00917748">
        <w:rPr>
          <w:rFonts w:ascii="Tw Cen MT" w:hAnsi="Tw Cen MT" w:cstheme="minorBidi"/>
          <w:sz w:val="18"/>
          <w:szCs w:val="18"/>
        </w:rPr>
        <w:t xml:space="preserve">] </w:t>
      </w:r>
      <w:r w:rsidRPr="00917748">
        <w:rPr>
          <w:rFonts w:ascii="Tw Cen MT" w:eastAsiaTheme="minorEastAsia" w:hAnsi="Tw Cen MT" w:cstheme="minorBidi"/>
          <w:color w:val="242021"/>
          <w:sz w:val="18"/>
          <w:szCs w:val="18"/>
        </w:rPr>
        <w:t xml:space="preserve">Medicine.2021;100:13(e25011).  </w:t>
      </w:r>
      <w:hyperlink r:id="rId13" w:history="1">
        <w:r w:rsidRPr="00917748">
          <w:rPr>
            <w:rStyle w:val="Hyperlink"/>
            <w:rFonts w:ascii="Tw Cen MT" w:eastAsiaTheme="minorEastAsia" w:hAnsi="Tw Cen MT" w:cstheme="minorBidi"/>
            <w:sz w:val="18"/>
            <w:szCs w:val="18"/>
          </w:rPr>
          <w:t>http://dx.doi.org/10.1097/MD.0000000000025011</w:t>
        </w:r>
      </w:hyperlink>
    </w:p>
    <w:p w:rsidR="00AE3E37" w:rsidRPr="00917748" w:rsidRDefault="00C944A7" w:rsidP="00917748">
      <w:pPr>
        <w:tabs>
          <w:tab w:val="left" w:pos="384"/>
        </w:tabs>
        <w:ind w:right="117"/>
        <w:rPr>
          <w:sz w:val="18"/>
          <w:szCs w:val="18"/>
        </w:rPr>
      </w:pPr>
      <w:r w:rsidRPr="00D52BE4">
        <w:rPr>
          <w:rFonts w:ascii="Times New Roman" w:hAnsi="Times New Roman" w:cs="Times New Roman"/>
          <w:noProof/>
          <w:sz w:val="24"/>
          <w:szCs w:val="24"/>
        </w:rPr>
        <w:pict>
          <v:roundrect id="Rounded Rectangle 2" o:spid="_x0000_s1029" style="position:absolute;margin-left:166.25pt;margin-top:-.25pt;width:91.2pt;height:74.8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C944A7" w:rsidP="00A52075">
                  <w:pPr>
                    <w:rPr>
                      <w:b/>
                      <w:color w:val="0000FF"/>
                      <w:lang w:val="en-IN"/>
                    </w:rPr>
                  </w:pPr>
                  <w:r>
                    <w:rPr>
                      <w:b/>
                      <w:noProof/>
                      <w:color w:val="0000FF"/>
                    </w:rPr>
                    <w:drawing>
                      <wp:inline distT="0" distB="0" distL="0" distR="0">
                        <wp:extent cx="753745" cy="757710"/>
                        <wp:effectExtent l="19050" t="0" r="8255" b="0"/>
                        <wp:docPr id="11" name="Picture 11" descr="C:\Users\Shaimaa\Desktop\IMG-2016071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haimaa\Desktop\IMG-20160716-WA0000.jpg"/>
                                <pic:cNvPicPr>
                                  <a:picLocks noChangeAspect="1" noChangeArrowheads="1"/>
                                </pic:cNvPicPr>
                              </pic:nvPicPr>
                              <pic:blipFill>
                                <a:blip r:embed="rId14"/>
                                <a:srcRect/>
                                <a:stretch>
                                  <a:fillRect/>
                                </a:stretch>
                              </pic:blipFill>
                              <pic:spPr bwMode="auto">
                                <a:xfrm>
                                  <a:off x="0" y="0"/>
                                  <a:ext cx="753745" cy="757710"/>
                                </a:xfrm>
                                <a:prstGeom prst="rect">
                                  <a:avLst/>
                                </a:prstGeom>
                                <a:noFill/>
                                <a:ln w="9525">
                                  <a:noFill/>
                                  <a:miter lim="800000"/>
                                  <a:headEnd/>
                                  <a:tailEnd/>
                                </a:ln>
                              </pic:spPr>
                            </pic:pic>
                          </a:graphicData>
                        </a:graphic>
                      </wp:inline>
                    </w:drawing>
                  </w:r>
                  <w:r w:rsidR="00A52075">
                    <w:rPr>
                      <w:b/>
                      <w:color w:val="0000FF"/>
                      <w:lang w:val="en-IN"/>
                    </w:rPr>
                    <w:t>Paste your Logo here</w:t>
                  </w:r>
                </w:p>
              </w:txbxContent>
            </v:textbox>
          </v:roundrect>
        </w:pict>
      </w:r>
    </w:p>
    <w:p w:rsidR="00AE3E37" w:rsidRPr="00D416D4" w:rsidRDefault="00AE3E37">
      <w:pPr>
        <w:spacing w:line="200" w:lineRule="exact"/>
        <w:jc w:val="both"/>
        <w:rPr>
          <w:sz w:val="18"/>
          <w:szCs w:val="18"/>
        </w:rPr>
        <w:sectPr w:rsidR="00AE3E37" w:rsidRPr="00D416D4" w:rsidSect="008E5477">
          <w:type w:val="continuous"/>
          <w:pgSz w:w="11910" w:h="16840"/>
          <w:pgMar w:top="995" w:right="600" w:bottom="840" w:left="620" w:header="720" w:footer="720" w:gutter="0"/>
          <w:cols w:num="2" w:space="720" w:equalWidth="0">
            <w:col w:w="5214" w:space="138"/>
            <w:col w:w="5338"/>
          </w:cols>
        </w:sectPr>
      </w:pPr>
    </w:p>
    <w:p w:rsidR="00AE3E37" w:rsidRPr="00D416D4" w:rsidRDefault="00AE3E37">
      <w:pPr>
        <w:pStyle w:val="BodyText"/>
      </w:pPr>
    </w:p>
    <w:p w:rsidR="00AE3E37" w:rsidRDefault="00D52BE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7D6080" w:rsidRDefault="008756E6" w:rsidP="00404E5B">
      <w:pPr>
        <w:spacing w:before="92"/>
        <w:ind w:right="4234"/>
        <w:rPr>
          <w:sz w:val="18"/>
          <w:szCs w:val="18"/>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7D6080">
        <w:rPr>
          <w:color w:val="BF5A14"/>
          <w:sz w:val="18"/>
          <w:szCs w:val="18"/>
        </w:rPr>
        <w:t>Biography</w:t>
      </w:r>
      <w:r w:rsidR="00404E5B" w:rsidRPr="007D6080">
        <w:rPr>
          <w:color w:val="BF5A14"/>
          <w:sz w:val="18"/>
          <w:szCs w:val="18"/>
        </w:rPr>
        <w:t xml:space="preserve"> (150 word limit)</w:t>
      </w:r>
      <w:bookmarkStart w:id="0" w:name="_GoBack"/>
      <w:bookmarkEnd w:id="0"/>
    </w:p>
    <w:p w:rsidR="00C944A7" w:rsidRPr="00C944A7" w:rsidRDefault="00C944A7" w:rsidP="00C944A7">
      <w:pPr>
        <w:tabs>
          <w:tab w:val="right" w:pos="426"/>
          <w:tab w:val="left" w:pos="2478"/>
        </w:tabs>
        <w:ind w:left="357"/>
        <w:rPr>
          <w:i/>
          <w:iCs/>
          <w:sz w:val="18"/>
          <w:szCs w:val="18"/>
        </w:rPr>
      </w:pPr>
      <w:r w:rsidRPr="00C944A7">
        <w:rPr>
          <w:rStyle w:val="fontstyle21"/>
          <w:rFonts w:ascii="Tw Cen MT" w:hAnsi="Tw Cen MT"/>
          <w:i/>
          <w:iCs/>
          <w:sz w:val="18"/>
          <w:szCs w:val="18"/>
        </w:rPr>
        <w:t xml:space="preserve">Dr. Shaimaa A. M. </w:t>
      </w:r>
      <w:r w:rsidRPr="00C944A7">
        <w:rPr>
          <w:rStyle w:val="fontstyle21"/>
          <w:rFonts w:ascii="Tw Cen MT" w:hAnsi="Tw Cen MT"/>
          <w:i/>
          <w:iCs/>
          <w:color w:val="auto"/>
          <w:sz w:val="18"/>
          <w:szCs w:val="18"/>
        </w:rPr>
        <w:t>Abd El Fatah</w:t>
      </w:r>
      <w:r w:rsidRPr="00C944A7">
        <w:rPr>
          <w:i/>
          <w:iCs/>
          <w:sz w:val="18"/>
          <w:szCs w:val="18"/>
        </w:rPr>
        <w:t xml:space="preserve"> has her expertise and passion in Public Health and Community Medicine research expressly health system research. Her open and persistent research manner is based on </w:t>
      </w:r>
      <w:r w:rsidRPr="00C944A7">
        <w:rPr>
          <w:rFonts w:eastAsia="Times New Roman" w:cs="Times New Roman"/>
          <w:i/>
          <w:iCs/>
          <w:sz w:val="18"/>
          <w:szCs w:val="18"/>
        </w:rPr>
        <w:t>contributing to the work reported, whether that’s in the research conception or design, acquisition of data, analysis and interpretation, or in all these areas.</w:t>
      </w:r>
    </w:p>
    <w:p w:rsidR="00C944A7" w:rsidRPr="00C944A7" w:rsidRDefault="00C944A7" w:rsidP="00C944A7">
      <w:pPr>
        <w:tabs>
          <w:tab w:val="right" w:pos="426"/>
          <w:tab w:val="left" w:pos="2478"/>
        </w:tabs>
        <w:rPr>
          <w:i/>
          <w:iCs/>
          <w:sz w:val="18"/>
          <w:szCs w:val="18"/>
        </w:rPr>
      </w:pPr>
      <w:r w:rsidRPr="00C944A7">
        <w:rPr>
          <w:i/>
          <w:iCs/>
          <w:sz w:val="18"/>
          <w:szCs w:val="18"/>
        </w:rPr>
        <w:lastRenderedPageBreak/>
        <w:t>Her enduring approach in research is always to find out new pathways for improving health care. She has built this conviction after years of experience in research, evaluation, teaching and administration both in hospital and education institutions. This approach is responsive to all stakeholders and has various ways of focusing.</w:t>
      </w:r>
      <w:r w:rsidRPr="00C944A7">
        <w:rPr>
          <w:rFonts w:eastAsia="Times New Roman" w:cs="Times New Roman"/>
          <w:i/>
          <w:iCs/>
          <w:color w:val="333333"/>
          <w:sz w:val="18"/>
          <w:szCs w:val="18"/>
        </w:rPr>
        <w:t xml:space="preserve"> </w:t>
      </w:r>
    </w:p>
    <w:p w:rsidR="00AE3E37" w:rsidRPr="007D6080" w:rsidRDefault="00AE3E37" w:rsidP="007D6080">
      <w:pPr>
        <w:spacing w:before="41" w:line="154" w:lineRule="exact"/>
        <w:ind w:left="213" w:right="231"/>
        <w:jc w:val="both"/>
        <w:rPr>
          <w:sz w:val="18"/>
          <w:szCs w:val="18"/>
        </w:rPr>
      </w:pPr>
    </w:p>
    <w:p w:rsidR="00AE3E37" w:rsidRPr="00C944A7" w:rsidRDefault="00A9710C" w:rsidP="00C944A7">
      <w:pPr>
        <w:spacing w:before="62"/>
        <w:ind w:left="4217" w:right="4235"/>
        <w:jc w:val="center"/>
        <w:rPr>
          <w:sz w:val="18"/>
          <w:szCs w:val="18"/>
        </w:rPr>
      </w:pPr>
      <w:r w:rsidRPr="00C944A7">
        <w:rPr>
          <w:sz w:val="18"/>
          <w:szCs w:val="18"/>
        </w:rPr>
        <w:t xml:space="preserve">Email: </w:t>
      </w:r>
      <w:hyperlink r:id="rId16" w:history="1">
        <w:r w:rsidR="00C944A7" w:rsidRPr="00C944A7">
          <w:rPr>
            <w:rStyle w:val="Hyperlink"/>
            <w:sz w:val="18"/>
            <w:szCs w:val="18"/>
          </w:rPr>
          <w:t>drshaimaali595@hotmail.com</w:t>
        </w:r>
      </w:hyperlink>
      <w:r w:rsidR="00C944A7" w:rsidRPr="00C944A7">
        <w:rPr>
          <w:sz w:val="18"/>
          <w:szCs w:val="18"/>
        </w:rPr>
        <w:t xml:space="preserve"> </w:t>
      </w:r>
    </w:p>
    <w:p w:rsidR="00AE3E37" w:rsidRDefault="00D52BE4">
      <w:pPr>
        <w:pStyle w:val="BodyText"/>
        <w:spacing w:before="2"/>
        <w:rPr>
          <w:rFonts w:ascii="Arial"/>
          <w:sz w:val="19"/>
        </w:rPr>
      </w:pPr>
      <w:r w:rsidRPr="00D52BE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C944A7">
      <w:pPr>
        <w:spacing w:before="39"/>
        <w:ind w:left="100"/>
        <w:rPr>
          <w:rFonts w:ascii="Minion Pro"/>
          <w:sz w:val="24"/>
        </w:rPr>
        <w:sectPr w:rsidR="00AE3E37" w:rsidSect="008E5477">
          <w:type w:val="continuous"/>
          <w:pgSz w:w="11910" w:h="16840"/>
          <w:pgMar w:top="995" w:right="600" w:bottom="840" w:left="620" w:header="720" w:footer="720" w:gutter="0"/>
          <w:cols w:space="720"/>
        </w:sectPr>
      </w:pPr>
      <w:r w:rsidRPr="00B21A57">
        <w:rPr>
          <w:rFonts w:ascii="Minion Pro"/>
          <w:b/>
          <w:sz w:val="20"/>
        </w:rPr>
        <w:t>Notes/Comments:</w:t>
      </w:r>
      <w:r w:rsidR="00C944A7">
        <w:rPr>
          <w:rFonts w:ascii="Minion Pro"/>
          <w:sz w:val="24"/>
        </w:rPr>
        <w:t xml:space="preserve"> </w:t>
      </w: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C944A7" w:rsidRPr="00917748">
        <w:rPr>
          <w:rStyle w:val="fontstyle21"/>
          <w:rFonts w:ascii="Tw Cen MT" w:hAnsi="Tw Cen MT"/>
        </w:rPr>
        <w:t>Shaimaa A. M. Abd El Fatah</w:t>
      </w:r>
    </w:p>
    <w:p w:rsidR="00F046EA" w:rsidRDefault="00F046EA" w:rsidP="00F046EA">
      <w:pPr>
        <w:jc w:val="both"/>
      </w:pPr>
      <w:r w:rsidRPr="0013708E">
        <w:t>Contact number:</w:t>
      </w:r>
      <w:r w:rsidR="00C944A7">
        <w:t xml:space="preserve"> 01003062047</w:t>
      </w:r>
    </w:p>
    <w:p w:rsidR="00C944A7" w:rsidRPr="00C944A7" w:rsidRDefault="00F046EA" w:rsidP="00C944A7">
      <w:pPr>
        <w:spacing w:before="62"/>
        <w:ind w:right="4235"/>
        <w:rPr>
          <w:sz w:val="18"/>
          <w:szCs w:val="18"/>
        </w:rPr>
      </w:pPr>
      <w:r>
        <w:t xml:space="preserve">Mail id: </w:t>
      </w:r>
      <w:hyperlink r:id="rId17" w:history="1">
        <w:r w:rsidR="00C944A7" w:rsidRPr="00C944A7">
          <w:rPr>
            <w:rStyle w:val="Hyperlink"/>
            <w:sz w:val="18"/>
            <w:szCs w:val="18"/>
          </w:rPr>
          <w:t>drshaimaali595@hotmail.com</w:t>
        </w:r>
      </w:hyperlink>
      <w:r w:rsidR="00C944A7" w:rsidRPr="00C944A7">
        <w:rPr>
          <w:sz w:val="18"/>
          <w:szCs w:val="18"/>
        </w:rPr>
        <w:t xml:space="preserve"> </w:t>
      </w:r>
    </w:p>
    <w:p w:rsidR="00F046EA" w:rsidRDefault="00F046EA" w:rsidP="00F046EA">
      <w:pPr>
        <w:jc w:val="both"/>
      </w:pPr>
      <w:r w:rsidRPr="0013708E">
        <w:t>Category: (Oral presentation/ Poster presentation)</w:t>
      </w:r>
      <w:r w:rsidR="00C944A7">
        <w:t>: Speaker</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6D1" w:rsidRDefault="008C06D1">
      <w:r>
        <w:separator/>
      </w:r>
    </w:p>
  </w:endnote>
  <w:endnote w:type="continuationSeparator" w:id="1">
    <w:p w:rsidR="008C06D1" w:rsidRDefault="008C0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XckpgcAdvTTe45e47d2">
    <w:altName w:val="Times New Roman"/>
    <w:panose1 w:val="00000000000000000000"/>
    <w:charset w:val="00"/>
    <w:family w:val="roman"/>
    <w:notTrueType/>
    <w:pitch w:val="default"/>
    <w:sig w:usb0="00000000" w:usb1="00000000" w:usb2="00000000" w:usb3="00000000" w:csb0="00000000" w:csb1="00000000"/>
  </w:font>
  <w:font w:name="QchbvsAdvTTb5929f4c">
    <w:altName w:val="Times New Roman"/>
    <w:panose1 w:val="00000000000000000000"/>
    <w:charset w:val="00"/>
    <w:family w:val="roman"/>
    <w:notTrueType/>
    <w:pitch w:val="default"/>
    <w:sig w:usb0="00000000" w:usb1="00000000" w:usb2="00000000" w:usb3="00000000" w:csb0="00000000" w:csb1="00000000"/>
  </w:font>
  <w:font w:name="PskpgtAdvTTb5929f4c+20">
    <w:altName w:val="Times New Roman"/>
    <w:panose1 w:val="00000000000000000000"/>
    <w:charset w:val="00"/>
    <w:family w:val="roman"/>
    <w:notTrueType/>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2BE4">
    <w:pPr>
      <w:pStyle w:val="BodyText"/>
      <w:spacing w:line="14" w:lineRule="auto"/>
      <w:rPr>
        <w:sz w:val="20"/>
      </w:rPr>
    </w:pPr>
    <w:r w:rsidRPr="00D52BE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52BE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52BE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6D1" w:rsidRDefault="008C06D1">
      <w:r>
        <w:separator/>
      </w:r>
    </w:p>
  </w:footnote>
  <w:footnote w:type="continuationSeparator" w:id="1">
    <w:p w:rsidR="008C06D1" w:rsidRDefault="008C06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E207D"/>
    <w:multiLevelType w:val="hybridMultilevel"/>
    <w:tmpl w:val="160ACCE4"/>
    <w:lvl w:ilvl="0" w:tplc="C0A0346E">
      <w:start w:val="1"/>
      <w:numFmt w:val="decimal"/>
      <w:lvlText w:val="%1-"/>
      <w:lvlJc w:val="left"/>
      <w:pPr>
        <w:ind w:left="1080" w:hanging="360"/>
      </w:pPr>
      <w:rPr>
        <w:rFont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5B1A2D"/>
    <w:multiLevelType w:val="hybridMultilevel"/>
    <w:tmpl w:val="7F369EA6"/>
    <w:lvl w:ilvl="0" w:tplc="BB7052E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02B20"/>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35BE"/>
    <w:rsid w:val="00714354"/>
    <w:rsid w:val="007D6080"/>
    <w:rsid w:val="00873DF0"/>
    <w:rsid w:val="008756E6"/>
    <w:rsid w:val="00897EC5"/>
    <w:rsid w:val="008C06D1"/>
    <w:rsid w:val="008E5477"/>
    <w:rsid w:val="00917748"/>
    <w:rsid w:val="009B2D44"/>
    <w:rsid w:val="00A07E82"/>
    <w:rsid w:val="00A52075"/>
    <w:rsid w:val="00A9710C"/>
    <w:rsid w:val="00AC6D61"/>
    <w:rsid w:val="00AE3E37"/>
    <w:rsid w:val="00B21A57"/>
    <w:rsid w:val="00C33602"/>
    <w:rsid w:val="00C56C74"/>
    <w:rsid w:val="00C944A7"/>
    <w:rsid w:val="00CD6F55"/>
    <w:rsid w:val="00D416D4"/>
    <w:rsid w:val="00D52BE4"/>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202B20"/>
    <w:rPr>
      <w:rFonts w:ascii="XckpgcAdvTTe45e47d2" w:hAnsi="XckpgcAdvTTe45e47d2" w:hint="default"/>
      <w:b w:val="0"/>
      <w:bCs w:val="0"/>
      <w:i w:val="0"/>
      <w:iCs w:val="0"/>
      <w:color w:val="131413"/>
      <w:sz w:val="48"/>
      <w:szCs w:val="48"/>
    </w:rPr>
  </w:style>
  <w:style w:type="character" w:customStyle="1" w:styleId="fontstyle21">
    <w:name w:val="fontstyle21"/>
    <w:basedOn w:val="DefaultParagraphFont"/>
    <w:rsid w:val="00202B20"/>
    <w:rPr>
      <w:rFonts w:ascii="QchbvsAdvTTb5929f4c" w:hAnsi="QchbvsAdvTTb5929f4c" w:hint="default"/>
      <w:b w:val="0"/>
      <w:bCs w:val="0"/>
      <w:i w:val="0"/>
      <w:iCs w:val="0"/>
      <w:color w:val="131413"/>
      <w:sz w:val="22"/>
      <w:szCs w:val="22"/>
    </w:rPr>
  </w:style>
  <w:style w:type="character" w:customStyle="1" w:styleId="fontstyle31">
    <w:name w:val="fontstyle31"/>
    <w:basedOn w:val="DefaultParagraphFont"/>
    <w:rsid w:val="00202B20"/>
    <w:rPr>
      <w:rFonts w:ascii="PskpgtAdvTTb5929f4c+20" w:hAnsi="PskpgtAdvTTb5929f4c+20" w:hint="default"/>
      <w:b w:val="0"/>
      <w:bCs w:val="0"/>
      <w:i w:val="0"/>
      <w:iCs w:val="0"/>
      <w:color w:val="131413"/>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x.doi.org/10.1097/MD.000000000002501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1016/j.wsif.2021.102449" TargetMode="External"/><Relationship Id="rId17" Type="http://schemas.openxmlformats.org/officeDocument/2006/relationships/hyperlink" Target="mailto:drshaimaali595@hotmail.com" TargetMode="External"/><Relationship Id="rId2" Type="http://schemas.openxmlformats.org/officeDocument/2006/relationships/styles" Target="styles.xml"/><Relationship Id="rId16" Type="http://schemas.openxmlformats.org/officeDocument/2006/relationships/hyperlink" Target="mailto:drshaimaali595@hotmail.com"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42506-020-00062-x"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doi.org/10.3889/oamjms.2020.527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02/hpm.2920"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Shaimaa</cp:lastModifiedBy>
  <cp:revision>16</cp:revision>
  <dcterms:created xsi:type="dcterms:W3CDTF">2016-08-31T12:08:00Z</dcterms:created>
  <dcterms:modified xsi:type="dcterms:W3CDTF">2021-06-15T19:52:00Z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