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3AA" w:rsidRPr="0098078A" w:rsidRDefault="007243AA" w:rsidP="00BA6BA8">
      <w:pPr>
        <w:autoSpaceDE w:val="0"/>
        <w:autoSpaceDN w:val="0"/>
        <w:adjustRightInd w:val="0"/>
        <w:jc w:val="both"/>
        <w:rPr>
          <w:rFonts w:ascii="CMBX12" w:hAnsi="CMBX12" w:cs="Arial"/>
          <w:b/>
          <w:color w:val="FF0000"/>
          <w:szCs w:val="18"/>
          <w:lang w:eastAsia="fr-FR"/>
        </w:rPr>
      </w:pPr>
    </w:p>
    <w:p w:rsidR="00BD6049" w:rsidRPr="00FC38BC" w:rsidRDefault="00BD6049" w:rsidP="007243AA">
      <w:pPr>
        <w:jc w:val="center"/>
        <w:rPr>
          <w:rFonts w:ascii="CMBX12" w:hAnsi="CMBX12" w:cs="CMBX12"/>
          <w:b/>
          <w:bCs/>
          <w:sz w:val="34"/>
          <w:szCs w:val="34"/>
          <w:lang w:eastAsia="fr-FR"/>
        </w:rPr>
      </w:pPr>
      <w:r w:rsidRPr="00FC38BC">
        <w:rPr>
          <w:rFonts w:ascii="CMBX12" w:hAnsi="CMBX12" w:cs="CMBX12"/>
          <w:b/>
          <w:bCs/>
          <w:sz w:val="34"/>
          <w:szCs w:val="34"/>
          <w:lang w:eastAsia="fr-FR"/>
        </w:rPr>
        <w:t xml:space="preserve">Fabrication of Layer-by-Layer Bio-Composite Scaffold for </w:t>
      </w:r>
      <w:r w:rsidRPr="00FC38BC">
        <w:rPr>
          <w:rFonts w:ascii="CMBX12" w:hAnsi="CMBX12" w:cs="CMBX12"/>
          <w:b/>
          <w:bCs/>
          <w:i/>
          <w:iCs/>
          <w:sz w:val="34"/>
          <w:szCs w:val="34"/>
          <w:lang w:eastAsia="fr-FR"/>
        </w:rPr>
        <w:t>In-vitro</w:t>
      </w:r>
      <w:r w:rsidRPr="00FC38BC">
        <w:rPr>
          <w:rFonts w:ascii="CMBX12" w:hAnsi="CMBX12" w:cs="CMBX12"/>
          <w:b/>
          <w:bCs/>
          <w:sz w:val="34"/>
          <w:szCs w:val="34"/>
          <w:lang w:eastAsia="fr-FR"/>
        </w:rPr>
        <w:t xml:space="preserve"> Skin Regeneration after Chronic Burns</w:t>
      </w:r>
    </w:p>
    <w:p w:rsidR="00BA6BA8" w:rsidRDefault="00BA6BA8" w:rsidP="00BA6BA8">
      <w:pPr>
        <w:pStyle w:val="Default"/>
      </w:pPr>
    </w:p>
    <w:p w:rsidR="00BA6BA8" w:rsidRPr="00BA6BA8" w:rsidRDefault="00BA6BA8" w:rsidP="00BA6BA8">
      <w:pPr>
        <w:pStyle w:val="Default"/>
        <w:jc w:val="center"/>
      </w:pPr>
      <w:r w:rsidRPr="00BA6BA8">
        <w:rPr>
          <w:vertAlign w:val="superscript"/>
        </w:rPr>
        <w:t>1</w:t>
      </w:r>
      <w:r w:rsidRPr="00BA6BA8">
        <w:t>Department of Chemistry, School of Sciences and Engineering, The American University in Cairo (AUC), AUC Avenue, P.O. Box 74, New Cairo 11835, Egypt</w:t>
      </w:r>
    </w:p>
    <w:p w:rsidR="005C2930" w:rsidRPr="00FC38BC" w:rsidRDefault="00BA6BA8" w:rsidP="00FC38BC">
      <w:pPr>
        <w:pStyle w:val="Default"/>
        <w:jc w:val="center"/>
        <w:sectPr w:rsidR="005C2930" w:rsidRPr="00FC38BC" w:rsidSect="0098078A">
          <w:headerReference w:type="even" r:id="rId7"/>
          <w:footerReference w:type="even" r:id="rId8"/>
          <w:pgSz w:w="11907" w:h="16840" w:code="9"/>
          <w:pgMar w:top="851" w:right="1418" w:bottom="1418" w:left="1418" w:header="720" w:footer="720" w:gutter="0"/>
          <w:cols w:space="720"/>
        </w:sectPr>
      </w:pPr>
      <w:r w:rsidRPr="00BA6BA8">
        <w:t xml:space="preserve">*Corresponding author. E-mail address: </w:t>
      </w:r>
      <w:r w:rsidR="00FC38BC">
        <w:t>wael_mamdouh@aucegypt.edu</w:t>
      </w:r>
    </w:p>
    <w:p w:rsidR="00074B02" w:rsidRPr="00F8392C" w:rsidRDefault="006B0381" w:rsidP="006B0381">
      <w:pPr>
        <w:jc w:val="both"/>
        <w:rPr>
          <w:b/>
          <w:sz w:val="22"/>
          <w:szCs w:val="22"/>
        </w:rPr>
      </w:pPr>
      <w:r w:rsidRPr="00F8392C">
        <w:rPr>
          <w:b/>
          <w:sz w:val="22"/>
          <w:szCs w:val="22"/>
        </w:rPr>
        <w:t>Abstract:</w:t>
      </w:r>
    </w:p>
    <w:p w:rsidR="0012265C" w:rsidRDefault="0012265C" w:rsidP="00986166">
      <w:pPr>
        <w:jc w:val="both"/>
        <w:rPr>
          <w:sz w:val="22"/>
          <w:szCs w:val="24"/>
        </w:rPr>
      </w:pPr>
      <w:r>
        <w:rPr>
          <w:sz w:val="22"/>
          <w:szCs w:val="22"/>
        </w:rPr>
        <w:t xml:space="preserve">Skin burn wounds is a </w:t>
      </w:r>
      <w:r w:rsidRPr="008B2951">
        <w:rPr>
          <w:sz w:val="22"/>
          <w:szCs w:val="22"/>
        </w:rPr>
        <w:t>definitive</w:t>
      </w:r>
      <w:r>
        <w:rPr>
          <w:sz w:val="22"/>
          <w:szCs w:val="22"/>
        </w:rPr>
        <w:t xml:space="preserve"> issue that can </w:t>
      </w:r>
      <w:bookmarkStart w:id="0" w:name="_GoBack"/>
      <w:bookmarkEnd w:id="0"/>
      <w:r>
        <w:rPr>
          <w:sz w:val="22"/>
          <w:szCs w:val="22"/>
        </w:rPr>
        <w:t xml:space="preserve">affect patient’s life quality and may drive to </w:t>
      </w:r>
      <w:r w:rsidRPr="008B2951">
        <w:rPr>
          <w:sz w:val="22"/>
          <w:szCs w:val="22"/>
        </w:rPr>
        <w:t xml:space="preserve">Disability-Adjusted Life-Years (DALYs) and cause of death in chronic cases. </w:t>
      </w:r>
      <w:r>
        <w:rPr>
          <w:sz w:val="22"/>
          <w:szCs w:val="22"/>
        </w:rPr>
        <w:t xml:space="preserve">WHO reported annual global death of </w:t>
      </w:r>
      <w:r w:rsidR="00986166">
        <w:rPr>
          <w:sz w:val="22"/>
          <w:szCs w:val="22"/>
        </w:rPr>
        <w:t xml:space="preserve">265,000 due to </w:t>
      </w:r>
      <w:r w:rsidRPr="008B2951">
        <w:rPr>
          <w:sz w:val="22"/>
          <w:szCs w:val="22"/>
        </w:rPr>
        <w:t xml:space="preserve">skin burns that often take place in low and middle-income </w:t>
      </w:r>
      <w:r>
        <w:rPr>
          <w:sz w:val="22"/>
          <w:szCs w:val="22"/>
        </w:rPr>
        <w:t xml:space="preserve">countries. This study aims to fabricate novel </w:t>
      </w:r>
      <w:r w:rsidRPr="008B2951">
        <w:rPr>
          <w:sz w:val="22"/>
          <w:szCs w:val="22"/>
        </w:rPr>
        <w:t xml:space="preserve">tri-layered asymmetric porous bio-composite </w:t>
      </w:r>
      <w:r>
        <w:rPr>
          <w:sz w:val="22"/>
          <w:szCs w:val="22"/>
        </w:rPr>
        <w:t>that can</w:t>
      </w:r>
      <w:r w:rsidRPr="00015C22">
        <w:rPr>
          <w:sz w:val="22"/>
          <w:szCs w:val="22"/>
        </w:rPr>
        <w:t xml:space="preserve"> mimic the natural skin layers.</w:t>
      </w:r>
      <w:r>
        <w:rPr>
          <w:sz w:val="22"/>
          <w:szCs w:val="22"/>
        </w:rPr>
        <w:t xml:space="preserve"> The upper layer is composed of nano-fibrous mat and </w:t>
      </w:r>
      <w:r w:rsidRPr="00015C22">
        <w:rPr>
          <w:sz w:val="22"/>
          <w:szCs w:val="22"/>
        </w:rPr>
        <w:t>imitative</w:t>
      </w:r>
      <w:r>
        <w:rPr>
          <w:sz w:val="22"/>
          <w:szCs w:val="22"/>
        </w:rPr>
        <w:t xml:space="preserve"> the skin epidermal layer and protects against wide range of pathogens strains. While, the lower layer is in the form of xerogel and mimics the skin dermal layer and provides physical support. Both layers are stick together using effective natural adhesive material that can keep the whole fabricated scaffold intact and stable. A </w:t>
      </w:r>
      <w:r w:rsidRPr="00952C80">
        <w:rPr>
          <w:sz w:val="22"/>
          <w:szCs w:val="22"/>
        </w:rPr>
        <w:t>consistent</w:t>
      </w:r>
      <w:r>
        <w:rPr>
          <w:sz w:val="22"/>
          <w:szCs w:val="22"/>
        </w:rPr>
        <w:t xml:space="preserve"> characterization was performed for each layer individually using specific standard techniques. Structural morphology was analyzed using </w:t>
      </w:r>
      <w:r w:rsidRPr="00952C80">
        <w:rPr>
          <w:sz w:val="22"/>
          <w:szCs w:val="24"/>
        </w:rPr>
        <w:t>scanning electron microscopy</w:t>
      </w:r>
      <w:r>
        <w:rPr>
          <w:sz w:val="22"/>
          <w:szCs w:val="24"/>
        </w:rPr>
        <w:t xml:space="preserve"> and image j that revealed existence of </w:t>
      </w:r>
      <w:r w:rsidRPr="00096D79">
        <w:rPr>
          <w:sz w:val="22"/>
          <w:szCs w:val="24"/>
        </w:rPr>
        <w:t xml:space="preserve">significant pore distribution among the electrospun and xerogel </w:t>
      </w:r>
      <w:r>
        <w:rPr>
          <w:sz w:val="22"/>
          <w:szCs w:val="24"/>
        </w:rPr>
        <w:t xml:space="preserve">layers confirmed by the method </w:t>
      </w:r>
      <w:r w:rsidRPr="006B13CC">
        <w:rPr>
          <w:sz w:val="22"/>
          <w:szCs w:val="22"/>
        </w:rPr>
        <w:t>of Brunauer-Emmett-Teller</w:t>
      </w:r>
      <w:r>
        <w:rPr>
          <w:sz w:val="22"/>
          <w:szCs w:val="24"/>
        </w:rPr>
        <w:t xml:space="preserve">. Chemical and functional groups of the utilized components were confirmed using </w:t>
      </w:r>
      <w:r>
        <w:rPr>
          <w:sz w:val="22"/>
          <w:szCs w:val="22"/>
        </w:rPr>
        <w:t>fourier transform infrared s</w:t>
      </w:r>
      <w:r w:rsidRPr="00050C42">
        <w:rPr>
          <w:sz w:val="22"/>
          <w:szCs w:val="22"/>
        </w:rPr>
        <w:t xml:space="preserve">pectroscopy. </w:t>
      </w:r>
      <w:r>
        <w:rPr>
          <w:sz w:val="22"/>
          <w:szCs w:val="22"/>
        </w:rPr>
        <w:t xml:space="preserve">The innovated scaffold exhibited </w:t>
      </w:r>
      <w:r w:rsidRPr="00096D79">
        <w:rPr>
          <w:sz w:val="22"/>
          <w:szCs w:val="24"/>
        </w:rPr>
        <w:t>promising swelling</w:t>
      </w:r>
      <w:r>
        <w:rPr>
          <w:sz w:val="22"/>
          <w:szCs w:val="24"/>
        </w:rPr>
        <w:t xml:space="preserve"> capacity that appropriate for </w:t>
      </w:r>
      <w:r w:rsidRPr="00096D79">
        <w:rPr>
          <w:sz w:val="22"/>
          <w:szCs w:val="24"/>
        </w:rPr>
        <w:t>absorbing wound exudates</w:t>
      </w:r>
      <w:r>
        <w:rPr>
          <w:sz w:val="22"/>
          <w:szCs w:val="24"/>
        </w:rPr>
        <w:t xml:space="preserve">, </w:t>
      </w:r>
      <w:r w:rsidRPr="00096D79">
        <w:rPr>
          <w:sz w:val="22"/>
          <w:szCs w:val="24"/>
        </w:rPr>
        <w:t xml:space="preserve">followed by constant </w:t>
      </w:r>
      <w:r>
        <w:rPr>
          <w:sz w:val="22"/>
          <w:szCs w:val="24"/>
        </w:rPr>
        <w:t>biodegradability</w:t>
      </w:r>
      <w:r w:rsidRPr="00096D79">
        <w:rPr>
          <w:sz w:val="22"/>
          <w:szCs w:val="24"/>
        </w:rPr>
        <w:t xml:space="preserve"> over time</w:t>
      </w:r>
      <w:r>
        <w:rPr>
          <w:sz w:val="22"/>
          <w:szCs w:val="24"/>
        </w:rPr>
        <w:t xml:space="preserve"> </w:t>
      </w:r>
      <w:r w:rsidRPr="00096D79">
        <w:rPr>
          <w:sz w:val="22"/>
          <w:szCs w:val="24"/>
        </w:rPr>
        <w:t>(P</w:t>
      </w:r>
      <w:r>
        <w:rPr>
          <w:sz w:val="22"/>
          <w:szCs w:val="24"/>
        </w:rPr>
        <w:t xml:space="preserve">&lt;0.0001). Nearly 98% of the </w:t>
      </w:r>
      <w:r w:rsidRPr="00AF3E65">
        <w:rPr>
          <w:i/>
          <w:iCs/>
          <w:sz w:val="22"/>
          <w:szCs w:val="24"/>
        </w:rPr>
        <w:t>in-vitro</w:t>
      </w:r>
      <w:r>
        <w:rPr>
          <w:sz w:val="22"/>
          <w:szCs w:val="24"/>
        </w:rPr>
        <w:t xml:space="preserve"> induced gap was healed in the presence of t</w:t>
      </w:r>
      <w:r w:rsidRPr="00096D79">
        <w:rPr>
          <w:sz w:val="22"/>
          <w:szCs w:val="24"/>
        </w:rPr>
        <w:t>he three scaffold asymmetrical layers</w:t>
      </w:r>
      <w:r>
        <w:rPr>
          <w:sz w:val="22"/>
          <w:szCs w:val="24"/>
        </w:rPr>
        <w:t xml:space="preserve"> using mouse embryonic fibroblasts. The innovated </w:t>
      </w:r>
      <w:r w:rsidRPr="00DD43FB">
        <w:rPr>
          <w:sz w:val="22"/>
          <w:szCs w:val="24"/>
        </w:rPr>
        <w:t>asymmetric scaffold</w:t>
      </w:r>
      <w:r>
        <w:rPr>
          <w:sz w:val="22"/>
          <w:szCs w:val="24"/>
        </w:rPr>
        <w:t xml:space="preserve"> reveals promising biological features for skin regeneration after chronic burns with potential for clinical applications.</w:t>
      </w:r>
    </w:p>
    <w:p w:rsidR="006B0381" w:rsidRPr="00F8392C" w:rsidRDefault="006B0381" w:rsidP="0012265C">
      <w:pPr>
        <w:spacing w:before="240"/>
        <w:jc w:val="both"/>
        <w:rPr>
          <w:sz w:val="22"/>
          <w:szCs w:val="22"/>
        </w:rPr>
      </w:pPr>
      <w:r w:rsidRPr="00F8392C">
        <w:rPr>
          <w:b/>
          <w:bCs/>
          <w:sz w:val="22"/>
          <w:szCs w:val="22"/>
        </w:rPr>
        <w:t>Keywords</w:t>
      </w:r>
      <w:r w:rsidR="00074B02" w:rsidRPr="00F8392C">
        <w:rPr>
          <w:sz w:val="22"/>
          <w:szCs w:val="22"/>
        </w:rPr>
        <w:t xml:space="preserve">: </w:t>
      </w:r>
      <w:r w:rsidR="0012265C">
        <w:rPr>
          <w:sz w:val="22"/>
          <w:szCs w:val="22"/>
        </w:rPr>
        <w:t>skin burns</w:t>
      </w:r>
      <w:r w:rsidRPr="00F8392C">
        <w:rPr>
          <w:sz w:val="22"/>
          <w:szCs w:val="22"/>
        </w:rPr>
        <w:t>,</w:t>
      </w:r>
      <w:r w:rsidR="0012265C">
        <w:rPr>
          <w:sz w:val="22"/>
          <w:szCs w:val="22"/>
        </w:rPr>
        <w:t xml:space="preserve"> third-degree burns,</w:t>
      </w:r>
      <w:r w:rsidRPr="00F8392C">
        <w:rPr>
          <w:sz w:val="22"/>
          <w:szCs w:val="22"/>
        </w:rPr>
        <w:t xml:space="preserve"> </w:t>
      </w:r>
      <w:r w:rsidR="0012265C">
        <w:rPr>
          <w:sz w:val="22"/>
          <w:szCs w:val="22"/>
        </w:rPr>
        <w:t>wound healing,</w:t>
      </w:r>
      <w:r w:rsidRPr="00F8392C">
        <w:rPr>
          <w:sz w:val="22"/>
          <w:szCs w:val="22"/>
        </w:rPr>
        <w:t xml:space="preserve"> </w:t>
      </w:r>
      <w:r w:rsidR="0012265C">
        <w:rPr>
          <w:sz w:val="22"/>
          <w:szCs w:val="22"/>
        </w:rPr>
        <w:t>nanofibers</w:t>
      </w:r>
      <w:r w:rsidRPr="00F8392C">
        <w:rPr>
          <w:sz w:val="22"/>
          <w:szCs w:val="22"/>
        </w:rPr>
        <w:t xml:space="preserve">, </w:t>
      </w:r>
      <w:r w:rsidR="0012265C">
        <w:rPr>
          <w:sz w:val="22"/>
          <w:szCs w:val="22"/>
        </w:rPr>
        <w:t>xerogels</w:t>
      </w:r>
      <w:r w:rsidRPr="00F8392C">
        <w:rPr>
          <w:sz w:val="22"/>
          <w:szCs w:val="22"/>
        </w:rPr>
        <w:t xml:space="preserve">, </w:t>
      </w:r>
      <w:r w:rsidR="0012265C">
        <w:rPr>
          <w:sz w:val="22"/>
          <w:szCs w:val="22"/>
        </w:rPr>
        <w:t>biocomposite</w:t>
      </w:r>
      <w:r w:rsidRPr="00F8392C">
        <w:rPr>
          <w:sz w:val="22"/>
          <w:szCs w:val="22"/>
        </w:rPr>
        <w:t xml:space="preserve">, </w:t>
      </w:r>
      <w:r w:rsidR="0012265C">
        <w:rPr>
          <w:sz w:val="22"/>
          <w:szCs w:val="22"/>
        </w:rPr>
        <w:t>scaffold</w:t>
      </w:r>
      <w:r w:rsidRPr="00F8392C">
        <w:rPr>
          <w:sz w:val="22"/>
          <w:szCs w:val="22"/>
        </w:rPr>
        <w:t xml:space="preserve">, </w:t>
      </w:r>
      <w:r w:rsidR="0012265C">
        <w:rPr>
          <w:sz w:val="22"/>
          <w:szCs w:val="22"/>
        </w:rPr>
        <w:t>t</w:t>
      </w:r>
      <w:r w:rsidR="0012265C" w:rsidRPr="0012265C">
        <w:rPr>
          <w:sz w:val="22"/>
          <w:szCs w:val="22"/>
        </w:rPr>
        <w:t>issue-engineered skin</w:t>
      </w:r>
      <w:r w:rsidRPr="00F8392C">
        <w:rPr>
          <w:sz w:val="22"/>
          <w:szCs w:val="22"/>
        </w:rPr>
        <w:t xml:space="preserve">, </w:t>
      </w:r>
      <w:r w:rsidR="0012265C">
        <w:rPr>
          <w:sz w:val="22"/>
          <w:szCs w:val="22"/>
        </w:rPr>
        <w:t>tissue culture</w:t>
      </w:r>
      <w:r w:rsidRPr="00F8392C">
        <w:rPr>
          <w:sz w:val="22"/>
          <w:szCs w:val="22"/>
        </w:rPr>
        <w:t>, biomedical applications.</w:t>
      </w:r>
    </w:p>
    <w:p w:rsidR="001953A2" w:rsidRDefault="001953A2" w:rsidP="00BD6049">
      <w:pPr>
        <w:spacing w:before="120"/>
        <w:ind w:right="40"/>
        <w:jc w:val="both"/>
        <w:rPr>
          <w:b/>
          <w:sz w:val="22"/>
          <w:szCs w:val="22"/>
          <w:lang w:val="en-GB"/>
        </w:rPr>
      </w:pPr>
    </w:p>
    <w:p w:rsidR="00CC5490" w:rsidRDefault="00C11FEE" w:rsidP="00277256">
      <w:pPr>
        <w:spacing w:before="120"/>
        <w:ind w:right="40"/>
        <w:jc w:val="both"/>
        <w:rPr>
          <w:sz w:val="22"/>
          <w:szCs w:val="22"/>
        </w:rPr>
      </w:pPr>
      <w:r w:rsidRPr="00277256">
        <w:rPr>
          <w:noProof/>
          <w:sz w:val="22"/>
          <w:szCs w:val="24"/>
        </w:rPr>
        <w:drawing>
          <wp:inline distT="0" distB="0" distL="0" distR="0">
            <wp:extent cx="2657475" cy="241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7475" cy="2419350"/>
                    </a:xfrm>
                    <a:prstGeom prst="rect">
                      <a:avLst/>
                    </a:prstGeom>
                    <a:noFill/>
                    <a:ln>
                      <a:noFill/>
                    </a:ln>
                  </pic:spPr>
                </pic:pic>
              </a:graphicData>
            </a:graphic>
          </wp:inline>
        </w:drawing>
      </w:r>
      <w:r w:rsidR="00C8412A" w:rsidRPr="00F8392C">
        <w:rPr>
          <w:b/>
          <w:sz w:val="22"/>
          <w:szCs w:val="22"/>
          <w:lang w:val="en-GB"/>
        </w:rPr>
        <w:t xml:space="preserve">Figure </w:t>
      </w:r>
      <w:r w:rsidR="00C8412A" w:rsidRPr="00F8392C">
        <w:rPr>
          <w:b/>
          <w:sz w:val="22"/>
          <w:szCs w:val="22"/>
          <w:lang w:val="en-GB"/>
        </w:rPr>
        <w:fldChar w:fldCharType="begin"/>
      </w:r>
      <w:r w:rsidR="00C8412A" w:rsidRPr="00F8392C">
        <w:rPr>
          <w:b/>
          <w:sz w:val="22"/>
          <w:szCs w:val="22"/>
          <w:lang w:val="en-GB"/>
        </w:rPr>
        <w:instrText xml:space="preserve"> SEQ Figure \* ARABIC </w:instrText>
      </w:r>
      <w:r w:rsidR="00C8412A" w:rsidRPr="00F8392C">
        <w:rPr>
          <w:b/>
          <w:sz w:val="22"/>
          <w:szCs w:val="22"/>
          <w:lang w:val="en-GB"/>
        </w:rPr>
        <w:fldChar w:fldCharType="separate"/>
      </w:r>
      <w:r w:rsidR="00037A9B">
        <w:rPr>
          <w:b/>
          <w:noProof/>
          <w:sz w:val="22"/>
          <w:szCs w:val="22"/>
          <w:lang w:val="en-GB"/>
        </w:rPr>
        <w:t>1</w:t>
      </w:r>
      <w:r w:rsidR="00C8412A" w:rsidRPr="00F8392C">
        <w:rPr>
          <w:b/>
          <w:sz w:val="22"/>
          <w:szCs w:val="22"/>
          <w:lang w:val="en-GB"/>
        </w:rPr>
        <w:fldChar w:fldCharType="end"/>
      </w:r>
      <w:r w:rsidR="00C8412A" w:rsidRPr="00F8392C">
        <w:rPr>
          <w:sz w:val="22"/>
          <w:szCs w:val="22"/>
          <w:lang w:val="en-GB"/>
        </w:rPr>
        <w:t xml:space="preserve">: </w:t>
      </w:r>
      <w:r w:rsidR="00D41311" w:rsidRPr="00F8392C">
        <w:rPr>
          <w:sz w:val="22"/>
          <w:szCs w:val="22"/>
        </w:rPr>
        <w:t xml:space="preserve">Figure illustrating </w:t>
      </w:r>
      <w:r w:rsidR="00CC5490">
        <w:rPr>
          <w:sz w:val="22"/>
          <w:szCs w:val="22"/>
        </w:rPr>
        <w:t xml:space="preserve">the </w:t>
      </w:r>
      <w:r w:rsidR="00CC5490" w:rsidRPr="00CC5490">
        <w:rPr>
          <w:sz w:val="22"/>
          <w:szCs w:val="22"/>
        </w:rPr>
        <w:t>engineered</w:t>
      </w:r>
      <w:r w:rsidR="00CC5490">
        <w:rPr>
          <w:sz w:val="22"/>
          <w:szCs w:val="22"/>
        </w:rPr>
        <w:t xml:space="preserve"> design of </w:t>
      </w:r>
      <w:r w:rsidR="00CC5490" w:rsidRPr="008B2951">
        <w:rPr>
          <w:sz w:val="22"/>
          <w:szCs w:val="22"/>
        </w:rPr>
        <w:t>tri-layered asymmetric porous bio-composite</w:t>
      </w:r>
      <w:r w:rsidR="00CC5490">
        <w:rPr>
          <w:sz w:val="22"/>
          <w:szCs w:val="22"/>
        </w:rPr>
        <w:t xml:space="preserve"> scaffold. </w:t>
      </w:r>
      <w:r w:rsidR="002539A8">
        <w:rPr>
          <w:sz w:val="22"/>
          <w:szCs w:val="22"/>
        </w:rPr>
        <w:t>The upper</w:t>
      </w:r>
      <w:r w:rsidR="00CC5490">
        <w:rPr>
          <w:sz w:val="22"/>
          <w:szCs w:val="22"/>
        </w:rPr>
        <w:t xml:space="preserve"> layer consists of porous nanofibrous sheet with average thickness of 0.1mm.  The lower layer constitutes of xerogel mat with average thickness of 0.2 mm. The middle layer is composed of </w:t>
      </w:r>
      <w:r w:rsidR="002539A8">
        <w:rPr>
          <w:sz w:val="22"/>
          <w:szCs w:val="22"/>
        </w:rPr>
        <w:t xml:space="preserve">fibrin glue (0.1mm). The whole scaffold was </w:t>
      </w:r>
      <w:r w:rsidR="002539A8" w:rsidRPr="002539A8">
        <w:rPr>
          <w:sz w:val="22"/>
          <w:szCs w:val="22"/>
        </w:rPr>
        <w:t>engin</w:t>
      </w:r>
      <w:r w:rsidR="002539A8">
        <w:rPr>
          <w:sz w:val="22"/>
          <w:szCs w:val="22"/>
        </w:rPr>
        <w:t xml:space="preserve">eered to a thickness of 0.4 mm </w:t>
      </w:r>
      <w:r w:rsidR="002539A8">
        <w:t xml:space="preserve">to </w:t>
      </w:r>
      <w:r w:rsidR="002539A8" w:rsidRPr="002539A8">
        <w:rPr>
          <w:sz w:val="22"/>
          <w:szCs w:val="22"/>
        </w:rPr>
        <w:t>facilitate the taken by the normal skin</w:t>
      </w:r>
      <w:r w:rsidR="002539A8">
        <w:rPr>
          <w:sz w:val="22"/>
          <w:szCs w:val="22"/>
        </w:rPr>
        <w:t>.</w:t>
      </w:r>
    </w:p>
    <w:p w:rsidR="00D41311" w:rsidRPr="00F8392C" w:rsidRDefault="005C2930" w:rsidP="001953A2">
      <w:pPr>
        <w:spacing w:before="120" w:after="120"/>
        <w:ind w:right="40"/>
        <w:jc w:val="both"/>
        <w:rPr>
          <w:sz w:val="22"/>
          <w:szCs w:val="22"/>
          <w:lang w:val="en-GB"/>
        </w:rPr>
      </w:pPr>
      <w:r w:rsidRPr="00F8392C">
        <w:rPr>
          <w:b/>
          <w:sz w:val="22"/>
          <w:szCs w:val="22"/>
          <w:lang w:val="en-GB"/>
        </w:rPr>
        <w:t>References:</w:t>
      </w:r>
    </w:p>
    <w:p w:rsidR="002539A8" w:rsidRPr="002539A8" w:rsidRDefault="00986166" w:rsidP="00986166">
      <w:pPr>
        <w:numPr>
          <w:ilvl w:val="0"/>
          <w:numId w:val="8"/>
        </w:numPr>
        <w:spacing w:after="120"/>
        <w:ind w:left="357" w:right="40" w:hanging="357"/>
        <w:jc w:val="both"/>
        <w:rPr>
          <w:sz w:val="22"/>
          <w:szCs w:val="22"/>
        </w:rPr>
      </w:pPr>
      <w:r w:rsidRPr="00986166">
        <w:rPr>
          <w:sz w:val="22"/>
          <w:szCs w:val="22"/>
        </w:rPr>
        <w:t>Dias, J. R., Granja, P. L., &amp; Bártolo, P. J. (2016). Advances in electrospun skin substitutes. </w:t>
      </w:r>
      <w:r w:rsidRPr="00986166">
        <w:rPr>
          <w:i/>
          <w:iCs/>
          <w:sz w:val="22"/>
          <w:szCs w:val="22"/>
        </w:rPr>
        <w:t>Progress in Materials Science,</w:t>
      </w:r>
      <w:r w:rsidRPr="00986166">
        <w:rPr>
          <w:sz w:val="22"/>
          <w:szCs w:val="22"/>
        </w:rPr>
        <w:t> 84, 314-334.</w:t>
      </w:r>
    </w:p>
    <w:p w:rsidR="0012265C" w:rsidRPr="00BA6BA8" w:rsidRDefault="002539A8" w:rsidP="00BA6BA8">
      <w:pPr>
        <w:numPr>
          <w:ilvl w:val="0"/>
          <w:numId w:val="8"/>
        </w:numPr>
        <w:jc w:val="both"/>
        <w:rPr>
          <w:sz w:val="22"/>
          <w:szCs w:val="22"/>
        </w:rPr>
      </w:pPr>
      <w:r w:rsidRPr="002539A8">
        <w:rPr>
          <w:sz w:val="22"/>
          <w:szCs w:val="22"/>
        </w:rPr>
        <w:t>Kheiri, A., Amini, S., Javidan, A. N., Saghafi, M. M., &amp; Khorasani, G. (2017). The effects of Alkanna tinctoria Tausch on split-thickness skin graft donor site management: a randomized, blinded placebo-controlled trial. </w:t>
      </w:r>
      <w:r w:rsidRPr="00986166">
        <w:rPr>
          <w:i/>
          <w:iCs/>
          <w:sz w:val="22"/>
          <w:szCs w:val="22"/>
        </w:rPr>
        <w:t>BMC complementary and alternative medicine.,</w:t>
      </w:r>
      <w:r w:rsidRPr="002539A8">
        <w:rPr>
          <w:sz w:val="22"/>
          <w:szCs w:val="22"/>
        </w:rPr>
        <w:t> 17(1), 253.</w:t>
      </w:r>
    </w:p>
    <w:p w:rsidR="0012265C" w:rsidRDefault="0012265C" w:rsidP="0012265C">
      <w:pPr>
        <w:ind w:right="42"/>
        <w:jc w:val="both"/>
        <w:rPr>
          <w:sz w:val="22"/>
          <w:szCs w:val="22"/>
        </w:rPr>
      </w:pPr>
    </w:p>
    <w:p w:rsidR="00233392" w:rsidRDefault="00233392" w:rsidP="00233392">
      <w:pPr>
        <w:ind w:right="42"/>
        <w:jc w:val="both"/>
        <w:rPr>
          <w:sz w:val="22"/>
          <w:szCs w:val="22"/>
        </w:rPr>
      </w:pPr>
    </w:p>
    <w:p w:rsidR="00233392" w:rsidRDefault="00233392" w:rsidP="00233392">
      <w:pPr>
        <w:ind w:right="42"/>
        <w:jc w:val="both"/>
        <w:rPr>
          <w:sz w:val="22"/>
          <w:szCs w:val="22"/>
        </w:rPr>
      </w:pPr>
    </w:p>
    <w:p w:rsidR="00233392" w:rsidRDefault="00233392" w:rsidP="00233392">
      <w:pPr>
        <w:ind w:right="42"/>
        <w:jc w:val="both"/>
        <w:rPr>
          <w:sz w:val="22"/>
          <w:szCs w:val="22"/>
        </w:rPr>
      </w:pPr>
    </w:p>
    <w:p w:rsidR="00233392" w:rsidRDefault="00233392" w:rsidP="00233392">
      <w:pPr>
        <w:ind w:right="42"/>
        <w:jc w:val="both"/>
        <w:rPr>
          <w:sz w:val="22"/>
          <w:szCs w:val="22"/>
        </w:rPr>
      </w:pPr>
    </w:p>
    <w:p w:rsidR="00233392" w:rsidRDefault="00233392" w:rsidP="00233392">
      <w:pPr>
        <w:ind w:right="42"/>
        <w:jc w:val="both"/>
        <w:rPr>
          <w:sz w:val="22"/>
          <w:szCs w:val="22"/>
        </w:rPr>
      </w:pPr>
    </w:p>
    <w:p w:rsidR="00233392" w:rsidRPr="001953A2" w:rsidRDefault="00233392" w:rsidP="00233392">
      <w:pPr>
        <w:ind w:right="42"/>
        <w:jc w:val="both"/>
        <w:rPr>
          <w:sz w:val="22"/>
          <w:szCs w:val="22"/>
        </w:rPr>
      </w:pPr>
    </w:p>
    <w:sectPr w:rsidR="00233392" w:rsidRPr="001953A2" w:rsidSect="007D4409">
      <w:type w:val="continuous"/>
      <w:pgSz w:w="11907" w:h="16840" w:code="9"/>
      <w:pgMar w:top="1418" w:right="1418" w:bottom="1418" w:left="1418" w:header="720" w:footer="720" w:gutter="0"/>
      <w:cols w:num="2"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9A2" w:rsidRDefault="00BC69A2">
      <w:r>
        <w:separator/>
      </w:r>
    </w:p>
  </w:endnote>
  <w:endnote w:type="continuationSeparator" w:id="0">
    <w:p w:rsidR="00BC69A2" w:rsidRDefault="00BC6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MBX1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6A4" w:rsidRDefault="00CE76A4">
    <w:pPr>
      <w:pStyle w:val="Defaul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9A2" w:rsidRDefault="00BC69A2">
      <w:r>
        <w:separator/>
      </w:r>
    </w:p>
  </w:footnote>
  <w:footnote w:type="continuationSeparator" w:id="0">
    <w:p w:rsidR="00BC69A2" w:rsidRDefault="00BC6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6A4" w:rsidRDefault="00CE76A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717CA"/>
    <w:multiLevelType w:val="hybridMultilevel"/>
    <w:tmpl w:val="39387E30"/>
    <w:lvl w:ilvl="0" w:tplc="7F68214E">
      <w:start w:val="1"/>
      <w:numFmt w:val="decimal"/>
      <w:lvlText w:val="%1."/>
      <w:lvlJc w:val="left"/>
      <w:pPr>
        <w:tabs>
          <w:tab w:val="num" w:pos="405"/>
        </w:tabs>
        <w:ind w:left="405" w:hanging="360"/>
      </w:pPr>
      <w:rPr>
        <w:rFonts w:hint="default"/>
        <w:b/>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 w15:restartNumberingAfterBreak="0">
    <w:nsid w:val="28771ABA"/>
    <w:multiLevelType w:val="hybridMultilevel"/>
    <w:tmpl w:val="CD385B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A6A4263"/>
    <w:multiLevelType w:val="hybridMultilevel"/>
    <w:tmpl w:val="F6A6D478"/>
    <w:lvl w:ilvl="0" w:tplc="10781D64">
      <w:start w:val="10"/>
      <w:numFmt w:val="bullet"/>
      <w:lvlText w:val=""/>
      <w:lvlJc w:val="left"/>
      <w:pPr>
        <w:ind w:left="3960" w:hanging="360"/>
      </w:pPr>
      <w:rPr>
        <w:rFonts w:ascii="Symbol" w:eastAsia="Times New Roman" w:hAnsi="Symbol" w:cs="Times New Roman" w:hint="default"/>
      </w:rPr>
    </w:lvl>
    <w:lvl w:ilvl="1" w:tplc="040C0003" w:tentative="1">
      <w:start w:val="1"/>
      <w:numFmt w:val="bullet"/>
      <w:lvlText w:val="o"/>
      <w:lvlJc w:val="left"/>
      <w:pPr>
        <w:ind w:left="4680" w:hanging="360"/>
      </w:pPr>
      <w:rPr>
        <w:rFonts w:ascii="Courier New" w:hAnsi="Courier New" w:cs="Courier New" w:hint="default"/>
      </w:rPr>
    </w:lvl>
    <w:lvl w:ilvl="2" w:tplc="040C0005" w:tentative="1">
      <w:start w:val="1"/>
      <w:numFmt w:val="bullet"/>
      <w:lvlText w:val=""/>
      <w:lvlJc w:val="left"/>
      <w:pPr>
        <w:ind w:left="5400" w:hanging="360"/>
      </w:pPr>
      <w:rPr>
        <w:rFonts w:ascii="Wingdings" w:hAnsi="Wingdings" w:hint="default"/>
      </w:rPr>
    </w:lvl>
    <w:lvl w:ilvl="3" w:tplc="040C0001" w:tentative="1">
      <w:start w:val="1"/>
      <w:numFmt w:val="bullet"/>
      <w:lvlText w:val=""/>
      <w:lvlJc w:val="left"/>
      <w:pPr>
        <w:ind w:left="6120" w:hanging="360"/>
      </w:pPr>
      <w:rPr>
        <w:rFonts w:ascii="Symbol" w:hAnsi="Symbol" w:hint="default"/>
      </w:rPr>
    </w:lvl>
    <w:lvl w:ilvl="4" w:tplc="040C0003" w:tentative="1">
      <w:start w:val="1"/>
      <w:numFmt w:val="bullet"/>
      <w:lvlText w:val="o"/>
      <w:lvlJc w:val="left"/>
      <w:pPr>
        <w:ind w:left="6840" w:hanging="360"/>
      </w:pPr>
      <w:rPr>
        <w:rFonts w:ascii="Courier New" w:hAnsi="Courier New" w:cs="Courier New" w:hint="default"/>
      </w:rPr>
    </w:lvl>
    <w:lvl w:ilvl="5" w:tplc="040C0005" w:tentative="1">
      <w:start w:val="1"/>
      <w:numFmt w:val="bullet"/>
      <w:lvlText w:val=""/>
      <w:lvlJc w:val="left"/>
      <w:pPr>
        <w:ind w:left="7560" w:hanging="360"/>
      </w:pPr>
      <w:rPr>
        <w:rFonts w:ascii="Wingdings" w:hAnsi="Wingdings" w:hint="default"/>
      </w:rPr>
    </w:lvl>
    <w:lvl w:ilvl="6" w:tplc="040C0001" w:tentative="1">
      <w:start w:val="1"/>
      <w:numFmt w:val="bullet"/>
      <w:lvlText w:val=""/>
      <w:lvlJc w:val="left"/>
      <w:pPr>
        <w:ind w:left="8280" w:hanging="360"/>
      </w:pPr>
      <w:rPr>
        <w:rFonts w:ascii="Symbol" w:hAnsi="Symbol" w:hint="default"/>
      </w:rPr>
    </w:lvl>
    <w:lvl w:ilvl="7" w:tplc="040C0003" w:tentative="1">
      <w:start w:val="1"/>
      <w:numFmt w:val="bullet"/>
      <w:lvlText w:val="o"/>
      <w:lvlJc w:val="left"/>
      <w:pPr>
        <w:ind w:left="9000" w:hanging="360"/>
      </w:pPr>
      <w:rPr>
        <w:rFonts w:ascii="Courier New" w:hAnsi="Courier New" w:cs="Courier New" w:hint="default"/>
      </w:rPr>
    </w:lvl>
    <w:lvl w:ilvl="8" w:tplc="040C0005" w:tentative="1">
      <w:start w:val="1"/>
      <w:numFmt w:val="bullet"/>
      <w:lvlText w:val=""/>
      <w:lvlJc w:val="left"/>
      <w:pPr>
        <w:ind w:left="9720" w:hanging="360"/>
      </w:pPr>
      <w:rPr>
        <w:rFonts w:ascii="Wingdings" w:hAnsi="Wingdings" w:hint="default"/>
      </w:rPr>
    </w:lvl>
  </w:abstractNum>
  <w:abstractNum w:abstractNumId="3" w15:restartNumberingAfterBreak="0">
    <w:nsid w:val="470301E4"/>
    <w:multiLevelType w:val="hybridMultilevel"/>
    <w:tmpl w:val="B596E504"/>
    <w:lvl w:ilvl="0" w:tplc="B6FEB588">
      <w:start w:val="1"/>
      <w:numFmt w:val="decimal"/>
      <w:lvlText w:val="%1."/>
      <w:lvlJc w:val="left"/>
      <w:pPr>
        <w:tabs>
          <w:tab w:val="num" w:pos="180"/>
        </w:tabs>
        <w:ind w:left="180" w:hanging="360"/>
      </w:pPr>
      <w:rPr>
        <w:rFonts w:hint="default"/>
        <w:b/>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 w15:restartNumberingAfterBreak="0">
    <w:nsid w:val="473D3668"/>
    <w:multiLevelType w:val="hybridMultilevel"/>
    <w:tmpl w:val="D00C1B84"/>
    <w:lvl w:ilvl="0" w:tplc="040C0001">
      <w:start w:val="10"/>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3D43A66"/>
    <w:multiLevelType w:val="hybridMultilevel"/>
    <w:tmpl w:val="4AF060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58190F"/>
    <w:multiLevelType w:val="hybridMultilevel"/>
    <w:tmpl w:val="158AB9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C5A4C1A"/>
    <w:multiLevelType w:val="hybridMultilevel"/>
    <w:tmpl w:val="FD9A863A"/>
    <w:lvl w:ilvl="0" w:tplc="F6363C32">
      <w:start w:val="1"/>
      <w:numFmt w:val="decimal"/>
      <w:lvlText w:val="%1."/>
      <w:lvlJc w:val="left"/>
      <w:pPr>
        <w:ind w:left="1080" w:hanging="360"/>
      </w:pPr>
      <w:rPr>
        <w:rFonts w:hint="default"/>
        <w:b w:val="0"/>
        <w:i w:val="0"/>
        <w:sz w:val="18"/>
        <w:szCs w:val="1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4"/>
  </w:num>
  <w:num w:numId="5">
    <w:abstractNumId w:val="7"/>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D97"/>
    <w:rsid w:val="00003017"/>
    <w:rsid w:val="00017616"/>
    <w:rsid w:val="000328C4"/>
    <w:rsid w:val="00032E8D"/>
    <w:rsid w:val="00037A9B"/>
    <w:rsid w:val="00044DBE"/>
    <w:rsid w:val="0004640D"/>
    <w:rsid w:val="0004756D"/>
    <w:rsid w:val="000579B4"/>
    <w:rsid w:val="00060FB6"/>
    <w:rsid w:val="00074B02"/>
    <w:rsid w:val="00081885"/>
    <w:rsid w:val="0009646D"/>
    <w:rsid w:val="0009756C"/>
    <w:rsid w:val="000B0803"/>
    <w:rsid w:val="000B4152"/>
    <w:rsid w:val="000B4523"/>
    <w:rsid w:val="000C3BD5"/>
    <w:rsid w:val="000C4D97"/>
    <w:rsid w:val="000F438B"/>
    <w:rsid w:val="000F5044"/>
    <w:rsid w:val="000F5D51"/>
    <w:rsid w:val="0010071E"/>
    <w:rsid w:val="001010C6"/>
    <w:rsid w:val="001040CB"/>
    <w:rsid w:val="001111EF"/>
    <w:rsid w:val="0012265C"/>
    <w:rsid w:val="00135760"/>
    <w:rsid w:val="0014649E"/>
    <w:rsid w:val="00146BAE"/>
    <w:rsid w:val="00155775"/>
    <w:rsid w:val="001621DB"/>
    <w:rsid w:val="0016629F"/>
    <w:rsid w:val="0017358F"/>
    <w:rsid w:val="00184563"/>
    <w:rsid w:val="001911A5"/>
    <w:rsid w:val="001924FA"/>
    <w:rsid w:val="00194FF2"/>
    <w:rsid w:val="001953A2"/>
    <w:rsid w:val="00195C4D"/>
    <w:rsid w:val="00197063"/>
    <w:rsid w:val="001B0A51"/>
    <w:rsid w:val="001C7696"/>
    <w:rsid w:val="001F2A34"/>
    <w:rsid w:val="00206C90"/>
    <w:rsid w:val="00211F13"/>
    <w:rsid w:val="002209AA"/>
    <w:rsid w:val="0023236E"/>
    <w:rsid w:val="002326ED"/>
    <w:rsid w:val="00233392"/>
    <w:rsid w:val="00236F7A"/>
    <w:rsid w:val="0024586B"/>
    <w:rsid w:val="002539A8"/>
    <w:rsid w:val="00257B60"/>
    <w:rsid w:val="00272250"/>
    <w:rsid w:val="00273E5E"/>
    <w:rsid w:val="00277256"/>
    <w:rsid w:val="002A3422"/>
    <w:rsid w:val="002A7451"/>
    <w:rsid w:val="002C32AC"/>
    <w:rsid w:val="002D039C"/>
    <w:rsid w:val="002E1E66"/>
    <w:rsid w:val="002E7757"/>
    <w:rsid w:val="002F473D"/>
    <w:rsid w:val="00300DAD"/>
    <w:rsid w:val="0030454A"/>
    <w:rsid w:val="0030794C"/>
    <w:rsid w:val="00320E70"/>
    <w:rsid w:val="003345CA"/>
    <w:rsid w:val="003370E5"/>
    <w:rsid w:val="00356AA3"/>
    <w:rsid w:val="00365DCC"/>
    <w:rsid w:val="00370DF8"/>
    <w:rsid w:val="00380F24"/>
    <w:rsid w:val="003825BE"/>
    <w:rsid w:val="00391595"/>
    <w:rsid w:val="003B2880"/>
    <w:rsid w:val="003D2779"/>
    <w:rsid w:val="00401E9A"/>
    <w:rsid w:val="0040311E"/>
    <w:rsid w:val="00410305"/>
    <w:rsid w:val="0042618D"/>
    <w:rsid w:val="004320F8"/>
    <w:rsid w:val="004410AA"/>
    <w:rsid w:val="00442C52"/>
    <w:rsid w:val="00450241"/>
    <w:rsid w:val="00456F69"/>
    <w:rsid w:val="00465EA0"/>
    <w:rsid w:val="004708C5"/>
    <w:rsid w:val="00496991"/>
    <w:rsid w:val="004975F0"/>
    <w:rsid w:val="004A1D6B"/>
    <w:rsid w:val="004B0B6B"/>
    <w:rsid w:val="004D0D34"/>
    <w:rsid w:val="004D4378"/>
    <w:rsid w:val="004D5117"/>
    <w:rsid w:val="004F4111"/>
    <w:rsid w:val="004F7707"/>
    <w:rsid w:val="004F781C"/>
    <w:rsid w:val="0051365B"/>
    <w:rsid w:val="005159B3"/>
    <w:rsid w:val="005227F3"/>
    <w:rsid w:val="00530499"/>
    <w:rsid w:val="005309F4"/>
    <w:rsid w:val="00535C27"/>
    <w:rsid w:val="005360D0"/>
    <w:rsid w:val="00542533"/>
    <w:rsid w:val="005453D2"/>
    <w:rsid w:val="00550E41"/>
    <w:rsid w:val="005575E1"/>
    <w:rsid w:val="00562B5C"/>
    <w:rsid w:val="00564A15"/>
    <w:rsid w:val="00564B80"/>
    <w:rsid w:val="005655F2"/>
    <w:rsid w:val="00566AD5"/>
    <w:rsid w:val="005864C5"/>
    <w:rsid w:val="00594071"/>
    <w:rsid w:val="00596CB3"/>
    <w:rsid w:val="005A3008"/>
    <w:rsid w:val="005A3D22"/>
    <w:rsid w:val="005B3CB4"/>
    <w:rsid w:val="005C2930"/>
    <w:rsid w:val="005D0A81"/>
    <w:rsid w:val="005E1810"/>
    <w:rsid w:val="006047EC"/>
    <w:rsid w:val="00607003"/>
    <w:rsid w:val="00644874"/>
    <w:rsid w:val="006457B2"/>
    <w:rsid w:val="00647BDB"/>
    <w:rsid w:val="006609B0"/>
    <w:rsid w:val="00660C30"/>
    <w:rsid w:val="00661AD8"/>
    <w:rsid w:val="0066735D"/>
    <w:rsid w:val="00672354"/>
    <w:rsid w:val="00677797"/>
    <w:rsid w:val="00684EAA"/>
    <w:rsid w:val="00690321"/>
    <w:rsid w:val="00692AEB"/>
    <w:rsid w:val="006B0381"/>
    <w:rsid w:val="006B03FB"/>
    <w:rsid w:val="006B27A4"/>
    <w:rsid w:val="006C717C"/>
    <w:rsid w:val="006E5DA0"/>
    <w:rsid w:val="00705C3C"/>
    <w:rsid w:val="00714F65"/>
    <w:rsid w:val="007243AA"/>
    <w:rsid w:val="00743260"/>
    <w:rsid w:val="00771069"/>
    <w:rsid w:val="00773793"/>
    <w:rsid w:val="00781DEB"/>
    <w:rsid w:val="00786987"/>
    <w:rsid w:val="0079745A"/>
    <w:rsid w:val="007B09AB"/>
    <w:rsid w:val="007B317D"/>
    <w:rsid w:val="007D4409"/>
    <w:rsid w:val="007E0AA0"/>
    <w:rsid w:val="007E49F6"/>
    <w:rsid w:val="0080129E"/>
    <w:rsid w:val="00802230"/>
    <w:rsid w:val="0081417B"/>
    <w:rsid w:val="00817E51"/>
    <w:rsid w:val="0082071C"/>
    <w:rsid w:val="008342BA"/>
    <w:rsid w:val="00837CC9"/>
    <w:rsid w:val="008517B1"/>
    <w:rsid w:val="00864BEF"/>
    <w:rsid w:val="00872558"/>
    <w:rsid w:val="0088090E"/>
    <w:rsid w:val="008910BB"/>
    <w:rsid w:val="008A06A5"/>
    <w:rsid w:val="008A0A64"/>
    <w:rsid w:val="008B1B42"/>
    <w:rsid w:val="008B1F5B"/>
    <w:rsid w:val="008C489E"/>
    <w:rsid w:val="008D0881"/>
    <w:rsid w:val="008E1D97"/>
    <w:rsid w:val="008F42F6"/>
    <w:rsid w:val="009078FD"/>
    <w:rsid w:val="009355A8"/>
    <w:rsid w:val="00941207"/>
    <w:rsid w:val="00944A35"/>
    <w:rsid w:val="0094543D"/>
    <w:rsid w:val="009502C9"/>
    <w:rsid w:val="00952060"/>
    <w:rsid w:val="009538A9"/>
    <w:rsid w:val="009544A0"/>
    <w:rsid w:val="009611E7"/>
    <w:rsid w:val="00965031"/>
    <w:rsid w:val="00966675"/>
    <w:rsid w:val="0098078A"/>
    <w:rsid w:val="009813A9"/>
    <w:rsid w:val="00982A6E"/>
    <w:rsid w:val="00986166"/>
    <w:rsid w:val="009902AC"/>
    <w:rsid w:val="00990C40"/>
    <w:rsid w:val="00995B69"/>
    <w:rsid w:val="009963C2"/>
    <w:rsid w:val="009C4D8C"/>
    <w:rsid w:val="009C69E5"/>
    <w:rsid w:val="009E102A"/>
    <w:rsid w:val="009E3801"/>
    <w:rsid w:val="009F021A"/>
    <w:rsid w:val="009F557F"/>
    <w:rsid w:val="00A24F95"/>
    <w:rsid w:val="00A51BEB"/>
    <w:rsid w:val="00A532B0"/>
    <w:rsid w:val="00A56DA4"/>
    <w:rsid w:val="00A56F1D"/>
    <w:rsid w:val="00A577E7"/>
    <w:rsid w:val="00A80505"/>
    <w:rsid w:val="00A87A79"/>
    <w:rsid w:val="00A95F21"/>
    <w:rsid w:val="00A969FA"/>
    <w:rsid w:val="00AA4626"/>
    <w:rsid w:val="00AB19B9"/>
    <w:rsid w:val="00AC0044"/>
    <w:rsid w:val="00AC0DDE"/>
    <w:rsid w:val="00AD6CE4"/>
    <w:rsid w:val="00AF0A89"/>
    <w:rsid w:val="00AF1FF8"/>
    <w:rsid w:val="00B04286"/>
    <w:rsid w:val="00B066C1"/>
    <w:rsid w:val="00B070AB"/>
    <w:rsid w:val="00B103FC"/>
    <w:rsid w:val="00B17D2C"/>
    <w:rsid w:val="00B2568D"/>
    <w:rsid w:val="00B4058A"/>
    <w:rsid w:val="00B51723"/>
    <w:rsid w:val="00B7055D"/>
    <w:rsid w:val="00B81E54"/>
    <w:rsid w:val="00B822E3"/>
    <w:rsid w:val="00B86252"/>
    <w:rsid w:val="00B9512D"/>
    <w:rsid w:val="00B97A72"/>
    <w:rsid w:val="00BA5501"/>
    <w:rsid w:val="00BA6BA8"/>
    <w:rsid w:val="00BB12E6"/>
    <w:rsid w:val="00BB6D02"/>
    <w:rsid w:val="00BC3DB6"/>
    <w:rsid w:val="00BC69A2"/>
    <w:rsid w:val="00BD6049"/>
    <w:rsid w:val="00BE348A"/>
    <w:rsid w:val="00BE433C"/>
    <w:rsid w:val="00C018D8"/>
    <w:rsid w:val="00C0543D"/>
    <w:rsid w:val="00C10E20"/>
    <w:rsid w:val="00C11FEE"/>
    <w:rsid w:val="00C2562C"/>
    <w:rsid w:val="00C26842"/>
    <w:rsid w:val="00C338A1"/>
    <w:rsid w:val="00C36B46"/>
    <w:rsid w:val="00C4281D"/>
    <w:rsid w:val="00C519A8"/>
    <w:rsid w:val="00C569EA"/>
    <w:rsid w:val="00C627A6"/>
    <w:rsid w:val="00C700D7"/>
    <w:rsid w:val="00C8412A"/>
    <w:rsid w:val="00CA5160"/>
    <w:rsid w:val="00CC0C9C"/>
    <w:rsid w:val="00CC5490"/>
    <w:rsid w:val="00CD3248"/>
    <w:rsid w:val="00CD6C17"/>
    <w:rsid w:val="00CE76A4"/>
    <w:rsid w:val="00CF1646"/>
    <w:rsid w:val="00D02B6E"/>
    <w:rsid w:val="00D05B95"/>
    <w:rsid w:val="00D165CB"/>
    <w:rsid w:val="00D3138A"/>
    <w:rsid w:val="00D341EA"/>
    <w:rsid w:val="00D41311"/>
    <w:rsid w:val="00D44D57"/>
    <w:rsid w:val="00D54337"/>
    <w:rsid w:val="00D85CC8"/>
    <w:rsid w:val="00DA5104"/>
    <w:rsid w:val="00DB00C4"/>
    <w:rsid w:val="00DF7B89"/>
    <w:rsid w:val="00E140AD"/>
    <w:rsid w:val="00E16B36"/>
    <w:rsid w:val="00E4072F"/>
    <w:rsid w:val="00E43CE5"/>
    <w:rsid w:val="00E441D6"/>
    <w:rsid w:val="00E5092E"/>
    <w:rsid w:val="00E56CF3"/>
    <w:rsid w:val="00E75A71"/>
    <w:rsid w:val="00E76BC3"/>
    <w:rsid w:val="00E81873"/>
    <w:rsid w:val="00E818FB"/>
    <w:rsid w:val="00E83550"/>
    <w:rsid w:val="00E85FEF"/>
    <w:rsid w:val="00E9378F"/>
    <w:rsid w:val="00E94260"/>
    <w:rsid w:val="00EA4B25"/>
    <w:rsid w:val="00EA514E"/>
    <w:rsid w:val="00EA67FA"/>
    <w:rsid w:val="00EB1B9D"/>
    <w:rsid w:val="00EB34C3"/>
    <w:rsid w:val="00ED666D"/>
    <w:rsid w:val="00EE6234"/>
    <w:rsid w:val="00EE6F98"/>
    <w:rsid w:val="00EF3AFF"/>
    <w:rsid w:val="00EF4E52"/>
    <w:rsid w:val="00F0035F"/>
    <w:rsid w:val="00F2537C"/>
    <w:rsid w:val="00F25C72"/>
    <w:rsid w:val="00F34EF9"/>
    <w:rsid w:val="00F42237"/>
    <w:rsid w:val="00F42897"/>
    <w:rsid w:val="00F611A7"/>
    <w:rsid w:val="00F62643"/>
    <w:rsid w:val="00F8392C"/>
    <w:rsid w:val="00F90B28"/>
    <w:rsid w:val="00F9206E"/>
    <w:rsid w:val="00FA7FF8"/>
    <w:rsid w:val="00FB0693"/>
    <w:rsid w:val="00FB5795"/>
    <w:rsid w:val="00FC38BC"/>
    <w:rsid w:val="00FC6FB0"/>
    <w:rsid w:val="00FD01E1"/>
    <w:rsid w:val="00FD3B5B"/>
    <w:rsid w:val="00FD5949"/>
    <w:rsid w:val="00FE07D4"/>
    <w:rsid w:val="00FF41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C4621"/>
  <w15:chartTrackingRefBased/>
  <w15:docId w15:val="{38D55EF3-933C-490F-B6CD-86C12949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Pr>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
    <w:name w:val="Body Text"/>
    <w:basedOn w:val="Normal"/>
    <w:pPr>
      <w:jc w:val="both"/>
    </w:pPr>
    <w:rPr>
      <w:bCs/>
      <w:sz w:val="20"/>
    </w:rPr>
  </w:style>
  <w:style w:type="paragraph" w:styleId="BodyText2">
    <w:name w:val="Body Text 2"/>
    <w:basedOn w:val="Normal"/>
    <w:pPr>
      <w:spacing w:line="240" w:lineRule="atLeast"/>
      <w:ind w:right="30"/>
      <w:jc w:val="both"/>
    </w:pPr>
    <w:rPr>
      <w:sz w:val="20"/>
    </w:rPr>
  </w:style>
  <w:style w:type="character" w:styleId="Hyperlink">
    <w:name w:val="Hyperlink"/>
    <w:rsid w:val="004D0D34"/>
    <w:rPr>
      <w:color w:val="0000FF"/>
      <w:u w:val="single"/>
    </w:rPr>
  </w:style>
  <w:style w:type="paragraph" w:styleId="Caption">
    <w:name w:val="caption"/>
    <w:basedOn w:val="Normal"/>
    <w:next w:val="Normal"/>
    <w:qFormat/>
    <w:rsid w:val="000F5D51"/>
    <w:pPr>
      <w:spacing w:before="120" w:after="120"/>
    </w:pPr>
    <w:rPr>
      <w:b/>
      <w:bCs/>
      <w:sz w:val="20"/>
    </w:rPr>
  </w:style>
  <w:style w:type="paragraph" w:styleId="BalloonText">
    <w:name w:val="Balloon Text"/>
    <w:basedOn w:val="Normal"/>
    <w:semiHidden/>
    <w:rsid w:val="00C338A1"/>
    <w:rPr>
      <w:rFonts w:ascii="Tahoma" w:hAnsi="Tahoma" w:cs="Tahoma"/>
      <w:sz w:val="16"/>
      <w:szCs w:val="16"/>
    </w:rPr>
  </w:style>
  <w:style w:type="character" w:styleId="CommentReference">
    <w:name w:val="annotation reference"/>
    <w:semiHidden/>
    <w:rsid w:val="00A51BEB"/>
    <w:rPr>
      <w:sz w:val="16"/>
      <w:szCs w:val="16"/>
    </w:rPr>
  </w:style>
  <w:style w:type="paragraph" w:styleId="CommentText">
    <w:name w:val="annotation text"/>
    <w:basedOn w:val="Normal"/>
    <w:semiHidden/>
    <w:rsid w:val="00A51BEB"/>
    <w:rPr>
      <w:sz w:val="20"/>
    </w:rPr>
  </w:style>
  <w:style w:type="paragraph" w:styleId="CommentSubject">
    <w:name w:val="annotation subject"/>
    <w:basedOn w:val="CommentText"/>
    <w:next w:val="CommentText"/>
    <w:semiHidden/>
    <w:rsid w:val="00A51BEB"/>
    <w:rPr>
      <w:b/>
      <w:bCs/>
    </w:rPr>
  </w:style>
  <w:style w:type="paragraph" w:customStyle="1" w:styleId="15TableBody">
    <w:name w:val="15_Table_Body"/>
    <w:rsid w:val="00817E51"/>
    <w:pPr>
      <w:spacing w:line="213" w:lineRule="exact"/>
    </w:pPr>
    <w:rPr>
      <w:rFonts w:eastAsia="Arial Unicode MS"/>
      <w:sz w:val="18"/>
      <w:lang w:val="en-GB" w:eastAsia="ja-JP"/>
    </w:rPr>
  </w:style>
  <w:style w:type="table" w:styleId="TableGrid">
    <w:name w:val="Table Grid"/>
    <w:basedOn w:val="TableNormal"/>
    <w:rsid w:val="00817E51"/>
    <w:pPr>
      <w:autoSpaceDE w:val="0"/>
      <w:autoSpaceDN w:val="0"/>
      <w:snapToGrid w:val="0"/>
      <w:spacing w:line="227" w:lineRule="exac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InlineHeading">
    <w:name w:val="11_Inline_Heading"/>
    <w:rsid w:val="00817E51"/>
    <w:rPr>
      <w:rFonts w:ascii="Arial" w:hAnsi="Arial"/>
      <w:b/>
      <w:lang w:val="en-GB"/>
    </w:rPr>
  </w:style>
  <w:style w:type="paragraph" w:customStyle="1" w:styleId="14TableTitle">
    <w:name w:val="14_Table_Title"/>
    <w:rsid w:val="00817E51"/>
    <w:pPr>
      <w:spacing w:after="120" w:line="213" w:lineRule="exact"/>
      <w:jc w:val="both"/>
    </w:pPr>
    <w:rPr>
      <w:rFonts w:eastAsia="Arial Unicode MS"/>
      <w:sz w:val="18"/>
      <w:lang w:val="en-GB" w:eastAsia="ja-JP"/>
    </w:rPr>
  </w:style>
  <w:style w:type="character" w:customStyle="1" w:styleId="yshortcuts">
    <w:name w:val="yshortcuts"/>
    <w:basedOn w:val="DefaultParagraphFont"/>
    <w:rsid w:val="006E5DA0"/>
  </w:style>
  <w:style w:type="paragraph" w:customStyle="1" w:styleId="AuthNames">
    <w:name w:val="AuthNames"/>
    <w:aliases w:val="AU"/>
    <w:basedOn w:val="Normal"/>
    <w:next w:val="Normal"/>
    <w:rsid w:val="00FE07D4"/>
    <w:pPr>
      <w:spacing w:before="120" w:after="120" w:line="320" w:lineRule="atLeast"/>
      <w:ind w:left="720" w:right="720"/>
    </w:pPr>
    <w:rPr>
      <w:rFonts w:ascii="Arial" w:hAnsi="Arial"/>
      <w:sz w:val="28"/>
      <w:szCs w:val="24"/>
      <w:lang w:val="en-GB"/>
    </w:rPr>
  </w:style>
  <w:style w:type="paragraph" w:customStyle="1" w:styleId="Default">
    <w:name w:val="Default"/>
    <w:rsid w:val="00BA6BA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template for two-page abstracts in Word 97 (PC)</vt:lpstr>
    </vt:vector>
  </TitlesOfParts>
  <Company>CASS</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two-page abstracts in Word 97 (PC)</dc:title>
  <dc:subject/>
  <dc:creator>fatma.yousef</dc:creator>
  <cp:keywords/>
  <cp:lastModifiedBy>fatma.yousef</cp:lastModifiedBy>
  <cp:revision>2</cp:revision>
  <cp:lastPrinted>2015-12-14T10:09:00Z</cp:lastPrinted>
  <dcterms:created xsi:type="dcterms:W3CDTF">2019-12-10T19:01:00Z</dcterms:created>
  <dcterms:modified xsi:type="dcterms:W3CDTF">2019-12-10T19:01:00Z</dcterms:modified>
</cp:coreProperties>
</file>