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6A2" w:rsidRPr="00B356A2" w:rsidRDefault="00B356A2" w:rsidP="00B356A2">
      <w:pPr>
        <w:autoSpaceDE w:val="0"/>
        <w:autoSpaceDN w:val="0"/>
        <w:adjustRightInd w:val="0"/>
        <w:jc w:val="both"/>
        <w:rPr>
          <w:rFonts w:ascii="Minion Pro" w:eastAsia="Minion Pro" w:hAnsi="Minion Pro" w:cs="Minion Pro"/>
          <w:b/>
          <w:bCs/>
          <w:color w:val="337AB7"/>
          <w:sz w:val="36"/>
          <w:szCs w:val="36"/>
        </w:rPr>
      </w:pPr>
      <w:r w:rsidRPr="00B356A2">
        <w:rPr>
          <w:rFonts w:ascii="Minion Pro" w:eastAsia="Minion Pro" w:hAnsi="Minion Pro" w:cs="Minion Pro"/>
          <w:b/>
          <w:bCs/>
          <w:color w:val="337AB7"/>
          <w:sz w:val="36"/>
          <w:szCs w:val="36"/>
        </w:rPr>
        <w:t xml:space="preserve">CO2 fixation via microalgae cultivation using wastewater for production of biofuel </w:t>
      </w:r>
    </w:p>
    <w:p w:rsidR="00B356A2" w:rsidRDefault="00B356A2" w:rsidP="00B356A2">
      <w:pPr>
        <w:autoSpaceDE w:val="0"/>
        <w:autoSpaceDN w:val="0"/>
        <w:adjustRightInd w:val="0"/>
        <w:jc w:val="both"/>
        <w:rPr>
          <w:rFonts w:ascii="Arial"/>
          <w:sz w:val="18"/>
          <w:szCs w:val="18"/>
        </w:rPr>
      </w:pPr>
    </w:p>
    <w:p w:rsidR="00B356A2" w:rsidRPr="00B356A2" w:rsidRDefault="00B356A2" w:rsidP="00B356A2">
      <w:pPr>
        <w:autoSpaceDE w:val="0"/>
        <w:autoSpaceDN w:val="0"/>
        <w:adjustRightInd w:val="0"/>
        <w:jc w:val="both"/>
        <w:rPr>
          <w:rFonts w:ascii="Arial"/>
          <w:sz w:val="18"/>
          <w:szCs w:val="18"/>
        </w:rPr>
      </w:pPr>
      <w:r w:rsidRPr="00B356A2">
        <w:rPr>
          <w:rFonts w:ascii="Arial"/>
          <w:sz w:val="18"/>
          <w:szCs w:val="18"/>
        </w:rPr>
        <w:t>Ghasem D. Najafpour*</w:t>
      </w:r>
    </w:p>
    <w:p w:rsidR="00B356A2" w:rsidRPr="00B356A2" w:rsidRDefault="00B356A2" w:rsidP="00B356A2">
      <w:pPr>
        <w:autoSpaceDE w:val="0"/>
        <w:autoSpaceDN w:val="0"/>
        <w:adjustRightInd w:val="0"/>
        <w:jc w:val="both"/>
        <w:rPr>
          <w:rFonts w:ascii="Arial"/>
          <w:sz w:val="18"/>
          <w:szCs w:val="18"/>
        </w:rPr>
      </w:pPr>
    </w:p>
    <w:p w:rsidR="00B356A2" w:rsidRPr="00B356A2" w:rsidRDefault="00B356A2" w:rsidP="00B356A2">
      <w:pPr>
        <w:autoSpaceDE w:val="0"/>
        <w:autoSpaceDN w:val="0"/>
        <w:adjustRightInd w:val="0"/>
        <w:jc w:val="both"/>
        <w:rPr>
          <w:rFonts w:ascii="Arial"/>
          <w:sz w:val="18"/>
          <w:szCs w:val="18"/>
        </w:rPr>
      </w:pPr>
      <w:r w:rsidRPr="00B356A2">
        <w:rPr>
          <w:rFonts w:ascii="Arial"/>
          <w:sz w:val="18"/>
          <w:szCs w:val="18"/>
        </w:rPr>
        <w:t>Faculty of Chemical Engineering, Babol Noshirvani University of Technology, Babol,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B356A2">
      <w:pPr>
        <w:pStyle w:val="Heading3"/>
        <w:spacing w:before="147"/>
        <w:jc w:val="both"/>
      </w:pPr>
      <w:r>
        <w:rPr>
          <w:color w:val="BF5A14"/>
        </w:rPr>
        <w:lastRenderedPageBreak/>
        <w:t>Abstract</w:t>
      </w:r>
      <w:r w:rsidR="00404E5B">
        <w:rPr>
          <w:color w:val="BF5A14"/>
        </w:rPr>
        <w:t xml:space="preserve"> </w:t>
      </w:r>
    </w:p>
    <w:p w:rsidR="00B356A2" w:rsidRPr="00B356A2" w:rsidRDefault="00B356A2" w:rsidP="00B356A2">
      <w:pPr>
        <w:autoSpaceDE w:val="0"/>
        <w:autoSpaceDN w:val="0"/>
        <w:adjustRightInd w:val="0"/>
        <w:jc w:val="both"/>
        <w:rPr>
          <w:sz w:val="18"/>
          <w:szCs w:val="18"/>
        </w:rPr>
      </w:pPr>
      <w:bookmarkStart w:id="0" w:name="_GoBack"/>
      <w:r w:rsidRPr="00B356A2">
        <w:rPr>
          <w:sz w:val="18"/>
          <w:szCs w:val="18"/>
        </w:rPr>
        <w:t>Existence and emission of extra of carbon dioxide in to atmosphere is the main cause of air pollution, climate changes and global warming. Use of microalgae in mega scale is a promising technique to convert ambient CO2 to algal oil for biofuel production. However, the algal oil production costs in commercial scale operation may be high, but we can eliminate atmospheric CO2. In order to eliminate media expenses wastewater as source of nutrients was used. The combination of biological post treatment of wastewater and CO2 biofixation would reduce the costs of operation. This work investigates the impact of wastewater with various organic load and light intensities on a unique strain of Scenedesmus sp. in batch system (initially charged with mixed gas). The aim of study is to find the optimum condition for biomass production, CO2 consumption rate and nutrient removal of the microalgae. The results showed that use of wastewater having 750mg L-1 sCOD and under 5500 lux, maximum cell growth and CO2 consumption rate were 2.77 g L-1  and 55 mg L-1 d-1, respectively. Microalgae was able to consume all available and soluble CO2, after incubation period of four days. When CO2 was limited, Scenedesmus sp. Isolated strain was continued to utilize wastewater as carbon source. The highest sCOD, TKN, nitrate and TP removal at such condition, were 55, 91, 87.5 and 100%, respectively. The lipid content of microalgal biomass was measured under different light intensity and the maximal amount of lipid was determined to be 51% under illumination of 2300 lux. Finally, the CO2 consumption rate and biomass productivity of microalgae using continuous gas flow (6%</w:t>
      </w:r>
      <m:oMath>
        <m:r>
          <m:rPr>
            <m:sty m:val="p"/>
          </m:rPr>
          <w:rPr>
            <w:rFonts w:ascii="Cambria Math" w:hAnsi="Cambria Math"/>
            <w:sz w:val="18"/>
            <w:szCs w:val="18"/>
          </w:rPr>
          <m:t xml:space="preserve"> C</m:t>
        </m:r>
        <m:sSub>
          <m:sSubPr>
            <m:ctrlPr>
              <w:rPr>
                <w:rFonts w:ascii="Cambria Math" w:hAnsi="Cambria Math"/>
                <w:sz w:val="18"/>
                <w:szCs w:val="18"/>
              </w:rPr>
            </m:ctrlPr>
          </m:sSubPr>
          <m:e>
            <m:r>
              <m:rPr>
                <m:sty m:val="p"/>
              </m:rPr>
              <w:rPr>
                <w:rFonts w:ascii="Cambria Math" w:hAnsi="Cambria Math"/>
                <w:sz w:val="18"/>
                <w:szCs w:val="18"/>
              </w:rPr>
              <m:t>O</m:t>
            </m:r>
          </m:e>
          <m:sub>
            <m:r>
              <m:rPr>
                <m:sty m:val="p"/>
              </m:rPr>
              <w:rPr>
                <w:rFonts w:ascii="Cambria Math" w:hAnsi="Cambria Math"/>
                <w:sz w:val="18"/>
                <w:szCs w:val="18"/>
              </w:rPr>
              <m:t>2</m:t>
            </m:r>
          </m:sub>
        </m:sSub>
      </m:oMath>
      <w:r w:rsidRPr="00B356A2">
        <w:rPr>
          <w:sz w:val="18"/>
          <w:szCs w:val="18"/>
        </w:rPr>
        <w:t>: 94%</w:t>
      </w:r>
      <m:oMath>
        <m:sSub>
          <m:sSubPr>
            <m:ctrlPr>
              <w:rPr>
                <w:rFonts w:ascii="Cambria Math" w:hAnsi="Cambria Math"/>
                <w:sz w:val="18"/>
                <w:szCs w:val="18"/>
              </w:rPr>
            </m:ctrlPr>
          </m:sSubPr>
          <m:e>
            <m:r>
              <m:rPr>
                <m:sty m:val="p"/>
              </m:rPr>
              <w:rPr>
                <w:rFonts w:ascii="Cambria Math" w:hAnsi="Cambria Math"/>
                <w:sz w:val="18"/>
                <w:szCs w:val="18"/>
              </w:rPr>
              <m:t>N</m:t>
            </m:r>
          </m:e>
          <m:sub>
            <m:r>
              <m:rPr>
                <m:sty m:val="p"/>
              </m:rPr>
              <w:rPr>
                <w:rFonts w:ascii="Cambria Math" w:hAnsi="Cambria Math"/>
                <w:sz w:val="18"/>
                <w:szCs w:val="18"/>
              </w:rPr>
              <m:t>2</m:t>
            </m:r>
          </m:sub>
        </m:sSub>
      </m:oMath>
      <w:r w:rsidRPr="00B356A2">
        <w:rPr>
          <w:sz w:val="18"/>
          <w:szCs w:val="18"/>
        </w:rPr>
        <w:t>) under optimum conditions were investigated. The dark greenish oil was used for biodiesel production.</w:t>
      </w:r>
    </w:p>
    <w:bookmarkEnd w:id="0"/>
    <w:p w:rsidR="00AE3E37" w:rsidRPr="0030677D" w:rsidRDefault="0030677D" w:rsidP="0030677D">
      <w:pPr>
        <w:pStyle w:val="Heading3"/>
        <w:spacing w:before="74"/>
      </w:pPr>
      <w:r>
        <w:rPr>
          <w:color w:val="BF5A14"/>
        </w:rPr>
        <w:br/>
        <w:t>Recent Publications</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Ebrahimi, Atieh, Daryoush Yousefi Kebria, and Ghasem Najafpour Darzi. "Improving bioelectricity generation and COD removal of sewage sludge in microbial desalination cell." Environmental technology (2017): 1-10.</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Samkhaniyani, F., Najafpour, G. D., &amp; Ardestani, F. (2017). Evaluation of effective nutritional parameters for Scenedesmus sp. microalgae culturing in a photobioreactor for biodiesel production. International Journal of Environmental Science and </w:t>
      </w:r>
      <w:r w:rsidRPr="0030677D">
        <w:rPr>
          <w:sz w:val="18"/>
        </w:rPr>
        <w:lastRenderedPageBreak/>
        <w:t>Technology, 14(5), 1037-1046.</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Kardi, S. N., Ibrahim, N., Darzi, G. N., Rashid, N. A. A., &amp; Villaseñor, J. (2017). Dye removal of AR27 with enhanced degradation and power generation in a microbial fuel cell using bioanode of treated clinoptilolite-modified graphite felt. Environmental Science and Pollution Research, 1-14.</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Neshat, Soheil A., Maedeh Mohammadi, and Ghasem D. Najafpour. "Photosynthesis Assisted Anaerobic Digestion of Cattle Manure Leachate in a Hybrid Bioreactor: an Integrated System for Enhanced Wastewater Treatment and Methane Production." Chemical Engineering Journal (2017).</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Neshat, S. A., Mohammadi, M., Najafpour, G. D., &amp; Lahijani, P. (2017). Anaerobic co-digestion of animal manures and lignocellulosic residues as a potent approach for sustainable biogas production. Renewable and Sustainable Energy Reviews, 79, 308-322.</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Azimi, N., Najafpour, G. D., Hassani, A. H., &amp; Borghei, S. M. (2017). Simultaneous sulfamethoxazole and trimethoprim removal and biofilm growth characteristics in attached growth bioreactor. International Journal of Environmental Science and Technology, 1-12. </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Rezvani, Fazlollah, Fatemeh Ardestani, and Ghasem Najafpour. "Growth kinetic models of five species of Lactobacilli and lactose consumption in batch submerged culture." Brazilian Journal of Microbiology 48.2 (2017): 251-258.</w:t>
      </w:r>
    </w:p>
    <w:p w:rsidR="0030677D" w:rsidRPr="0030677D" w:rsidRDefault="0030677D" w:rsidP="0030677D">
      <w:pPr>
        <w:pStyle w:val="ListParagraph"/>
        <w:numPr>
          <w:ilvl w:val="0"/>
          <w:numId w:val="3"/>
        </w:numPr>
        <w:tabs>
          <w:tab w:val="left" w:pos="384"/>
        </w:tabs>
        <w:spacing w:before="103" w:line="216" w:lineRule="exact"/>
        <w:ind w:right="138" w:hanging="283"/>
        <w:rPr>
          <w:sz w:val="18"/>
        </w:rPr>
      </w:pPr>
      <w:r w:rsidRPr="0030677D">
        <w:rPr>
          <w:sz w:val="18"/>
        </w:rPr>
        <w:t xml:space="preserve"> Nouri, Parisa, and Ghasem Najafpour Darzi. "Impacts of process parameters optimization on the performance of the annular single chamber microbial fuel cell in wastewater treatment." Engineering in Life Sciences 17.5 (2017): 545-551.</w:t>
      </w:r>
    </w:p>
    <w:p w:rsidR="00AE3E37" w:rsidRPr="0030677D" w:rsidRDefault="0030677D" w:rsidP="0030677D">
      <w:pPr>
        <w:pStyle w:val="ListParagraph"/>
        <w:numPr>
          <w:ilvl w:val="0"/>
          <w:numId w:val="3"/>
        </w:numPr>
        <w:tabs>
          <w:tab w:val="left" w:pos="384"/>
        </w:tabs>
        <w:spacing w:before="103"/>
        <w:ind w:right="138" w:hanging="283"/>
        <w:sectPr w:rsidR="00AE3E37" w:rsidRPr="0030677D">
          <w:type w:val="continuous"/>
          <w:pgSz w:w="11910" w:h="16840"/>
          <w:pgMar w:top="1740" w:right="600" w:bottom="840" w:left="620" w:header="720" w:footer="720" w:gutter="0"/>
          <w:cols w:num="2" w:space="720" w:equalWidth="0">
            <w:col w:w="5214" w:space="138"/>
            <w:col w:w="5338"/>
          </w:cols>
        </w:sectPr>
      </w:pPr>
      <w:r w:rsidRPr="0030677D">
        <w:rPr>
          <w:sz w:val="18"/>
        </w:rPr>
        <w:t xml:space="preserve"> Sahne, F., Mohammadi, M., Najafpour, G. D., &amp; Moghadamnia, A. A. (2017). Enzyme-assisted ionic liquid extraction of bioactive compound from turmeric (Curcuma longa L.): Isolation, purification and analysis of curcumin. Industrial Crops and Products, 95, 686-694. </w:t>
      </w:r>
      <w:r w:rsidR="008756E6" w:rsidRPr="0030677D">
        <w:t xml:space="preserve">   </w:t>
      </w:r>
    </w:p>
    <w:p w:rsidR="00AE3E37" w:rsidRDefault="00AE3E37">
      <w:pPr>
        <w:pStyle w:val="BodyText"/>
        <w:rPr>
          <w:rFonts w:ascii="Calibri"/>
          <w:sz w:val="20"/>
        </w:rPr>
      </w:pPr>
    </w:p>
    <w:p w:rsidR="00AE3E37" w:rsidRDefault="00FC3375">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0677D">
      <w:pPr>
        <w:spacing w:before="92"/>
        <w:ind w:right="4234"/>
        <w:rPr>
          <w:rFonts w:ascii="Arial"/>
        </w:rPr>
      </w:pPr>
      <w:r>
        <w:rPr>
          <w:noProof/>
        </w:rPr>
        <w:t xml:space="preserve">    </w:t>
      </w:r>
      <w:r w:rsidR="0030677D">
        <w:rPr>
          <w:noProof/>
          <w:sz w:val="18"/>
          <w:lang w:val="en-IN" w:eastAsia="en-IN"/>
        </w:rPr>
        <w:drawing>
          <wp:anchor distT="0" distB="0" distL="114300" distR="114300" simplePos="0" relativeHeight="251658240" behindDoc="0" locked="0" layoutInCell="1" allowOverlap="1">
            <wp:simplePos x="0" y="0"/>
            <wp:positionH relativeFrom="column">
              <wp:posOffset>173990</wp:posOffset>
            </wp:positionH>
            <wp:positionV relativeFrom="paragraph">
              <wp:posOffset>60503</wp:posOffset>
            </wp:positionV>
            <wp:extent cx="886460" cy="833933"/>
            <wp:effectExtent l="19050" t="0" r="8890" b="0"/>
            <wp:wrapSquare wrapText="bothSides"/>
            <wp:docPr id="4" name="il_fi" descr="Description: http://www.ukm.my/news/images/stories/Research2012/ProfGhas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Description: http://www.ukm.my/news/images/stories/Research2012/ProfGhasem1.jpg"/>
                    <pic:cNvPicPr>
                      <a:picLocks noChangeAspect="1" noChangeArrowheads="1"/>
                    </pic:cNvPicPr>
                  </pic:nvPicPr>
                  <pic:blipFill>
                    <a:blip r:embed="rId10" cstate="print"/>
                    <a:srcRect/>
                    <a:stretch>
                      <a:fillRect/>
                    </a:stretch>
                  </pic:blipFill>
                  <pic:spPr bwMode="auto">
                    <a:xfrm>
                      <a:off x="0" y="0"/>
                      <a:ext cx="886460" cy="833933"/>
                    </a:xfrm>
                    <a:prstGeom prst="rect">
                      <a:avLst/>
                    </a:prstGeom>
                    <a:noFill/>
                    <a:ln w="9525">
                      <a:noFill/>
                      <a:miter lim="800000"/>
                      <a:headEnd/>
                      <a:tailEnd/>
                    </a:ln>
                  </pic:spPr>
                </pic:pic>
              </a:graphicData>
            </a:graphic>
          </wp:anchor>
        </w:drawing>
      </w:r>
      <w:r>
        <w:rPr>
          <w:noProof/>
        </w:rPr>
        <w:t xml:space="preserve">          </w:t>
      </w:r>
      <w:r w:rsidR="00A9710C">
        <w:rPr>
          <w:rFonts w:ascii="Arial"/>
          <w:color w:val="BF5A14"/>
        </w:rPr>
        <w:t>Biography</w:t>
      </w:r>
      <w:r w:rsidR="00404E5B">
        <w:rPr>
          <w:rFonts w:ascii="Arial"/>
          <w:color w:val="BF5A14"/>
        </w:rPr>
        <w:t xml:space="preserve"> </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30677D" w:rsidRPr="0030677D" w:rsidRDefault="0030677D" w:rsidP="0030677D">
      <w:pPr>
        <w:spacing w:before="41" w:line="154" w:lineRule="exact"/>
        <w:ind w:left="213" w:right="231"/>
        <w:jc w:val="both"/>
        <w:rPr>
          <w:rFonts w:ascii="Arial"/>
          <w:sz w:val="14"/>
        </w:rPr>
      </w:pPr>
      <w:r w:rsidRPr="0030677D">
        <w:rPr>
          <w:rFonts w:ascii="Arial"/>
          <w:sz w:val="14"/>
        </w:rPr>
        <w:t xml:space="preserve">Professor Ghasem D. Najafpour is a distinguished professor in Chemical Engineering and Chairman of Biotechnology Research Center, Babol Noshirvani University of Technology, Iran. He is an educated scholar from University of Arkansas, USA with strong background in biological processes. He is deeply involved in research and teaching in biochemical engineering subjects and he has conducted many practical researches in enzyme technology, fermentation processes, biodiesel, biofuel, biosurfactant, wastewater treatment and biochemical engineering. </w:t>
      </w:r>
    </w:p>
    <w:p w:rsidR="0030677D" w:rsidRPr="0030677D" w:rsidRDefault="0030677D" w:rsidP="0030677D">
      <w:pPr>
        <w:spacing w:before="41" w:line="154" w:lineRule="exact"/>
        <w:ind w:left="213" w:right="231"/>
        <w:jc w:val="both"/>
        <w:rPr>
          <w:rFonts w:ascii="Arial"/>
          <w:sz w:val="14"/>
        </w:rPr>
      </w:pPr>
      <w:r w:rsidRPr="0030677D">
        <w:rPr>
          <w:rFonts w:ascii="Arial"/>
          <w:sz w:val="14"/>
        </w:rPr>
        <w:tab/>
        <w:t xml:space="preserve">He is a Chemical Engineer and Biotechnologist, B.Sc., Medical Technology University of Isfahan, Iran (1972), M.Sc., Chemical Engineering University of Oklahoma, USA (1977) and Ph.D., Chemical Engineering University of Arkansas, USA (1983). He served as assistant professor at University of Mazandran, Iran (1983-1989). Visiting Professor at University of Waterloo Canada and University of Arkansas, USA (1990-1991). He also spent his sabbatical leave at University of Arkansas, USA (1992-1993). There, he has expanded his scientific research activities on single cell protein (SCP), Microbial fuel cells, renewable energy and synthetic fuels. He served as associate professor at University of Mazandaran, Iran, (1994-1998) and Universiti of Sains Malaysia, Malaysia (1998 </w:t>
      </w:r>
      <w:r w:rsidRPr="0030677D">
        <w:rPr>
          <w:rFonts w:ascii="Arial"/>
          <w:sz w:val="14"/>
        </w:rPr>
        <w:t>–</w:t>
      </w:r>
      <w:r w:rsidRPr="0030677D">
        <w:rPr>
          <w:rFonts w:ascii="Arial"/>
          <w:sz w:val="14"/>
        </w:rPr>
        <w:t xml:space="preserve"> 2005). Since 2005, he was qualified and appointed as professor in Faculty of Chemical Engineering at Babol Noshirvani University of Technology, Iran. </w:t>
      </w:r>
    </w:p>
    <w:p w:rsidR="0030677D" w:rsidRDefault="0030677D">
      <w:pPr>
        <w:spacing w:before="41" w:line="154" w:lineRule="exact"/>
        <w:ind w:left="213" w:right="231"/>
        <w:jc w:val="both"/>
        <w:rPr>
          <w:rFonts w:ascii="Arial"/>
          <w:sz w:val="14"/>
        </w:rPr>
      </w:pPr>
    </w:p>
    <w:p w:rsidR="00AE3E37" w:rsidRPr="00C175AE" w:rsidRDefault="00A9710C" w:rsidP="00C175AE">
      <w:pPr>
        <w:spacing w:before="62"/>
        <w:ind w:left="4217" w:right="4235"/>
        <w:jc w:val="center"/>
        <w:rPr>
          <w:rFonts w:ascii="Arial"/>
          <w:sz w:val="14"/>
        </w:rPr>
        <w:sectPr w:rsidR="00AE3E37" w:rsidRPr="00C175AE">
          <w:type w:val="continuous"/>
          <w:pgSz w:w="11910" w:h="16840"/>
          <w:pgMar w:top="1740" w:right="600" w:bottom="840" w:left="620" w:header="720" w:footer="720" w:gutter="0"/>
          <w:cols w:space="720"/>
        </w:sectPr>
      </w:pPr>
      <w:r>
        <w:rPr>
          <w:rFonts w:ascii="Arial"/>
          <w:sz w:val="14"/>
        </w:rPr>
        <w:t xml:space="preserve">Email: </w:t>
      </w:r>
      <w:r w:rsidR="00C175AE" w:rsidRPr="00C175AE">
        <w:rPr>
          <w:rFonts w:ascii="Arial"/>
          <w:sz w:val="14"/>
        </w:rPr>
        <w:t>najafpour@nit.ac.i</w:t>
      </w:r>
      <w:r w:rsidR="00FC3375">
        <w:rPr>
          <w:noProof/>
          <w:sz w:val="18"/>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175AE">
        <w:rPr>
          <w:rFonts w:ascii="Arial"/>
          <w:sz w:val="14"/>
        </w:rPr>
        <w:t>r</w:t>
      </w:r>
    </w:p>
    <w:p w:rsidR="00AE3E37" w:rsidRDefault="00AE3E37" w:rsidP="00C175A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7E0" w:rsidRDefault="00EB27E0">
      <w:r>
        <w:separator/>
      </w:r>
    </w:p>
  </w:endnote>
  <w:endnote w:type="continuationSeparator" w:id="0">
    <w:p w:rsidR="00EB27E0" w:rsidRDefault="00EB2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C3375">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7E0" w:rsidRDefault="00EB27E0">
      <w:r>
        <w:separator/>
      </w:r>
    </w:p>
  </w:footnote>
  <w:footnote w:type="continuationSeparator" w:id="0">
    <w:p w:rsidR="00EB27E0" w:rsidRDefault="00EB27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C3375">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0677D"/>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356A2"/>
    <w:rsid w:val="00C175AE"/>
    <w:rsid w:val="00C33602"/>
    <w:rsid w:val="00C84AA7"/>
    <w:rsid w:val="00CD6F55"/>
    <w:rsid w:val="00DE3104"/>
    <w:rsid w:val="00EB27E0"/>
    <w:rsid w:val="00F72EEA"/>
    <w:rsid w:val="00F84CAE"/>
    <w:rsid w:val="00FC337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iv6094675864authors">
    <w:name w:val="yiv6094675864authors"/>
    <w:basedOn w:val="Normal"/>
    <w:rsid w:val="0030677D"/>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iv6094675864authors">
    <w:name w:val="yiv6094675864authors"/>
    <w:basedOn w:val="Normal"/>
    <w:rsid w:val="0030677D"/>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Caner Tumor Immunology 2017</cp:lastModifiedBy>
  <cp:revision>2</cp:revision>
  <dcterms:created xsi:type="dcterms:W3CDTF">2018-01-08T06:35:00Z</dcterms:created>
  <dcterms:modified xsi:type="dcterms:W3CDTF">2018-01-08T06:35:00Z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