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</w:pPr>
      <w:r>
        <w:rPr>
          <w:b/>
          <w:sz w:val="26"/>
          <w:szCs w:val="26"/>
        </w:rPr>
        <w:t xml:space="preserve">Augmentation of uranium bioremediation by genetically engineered </w:t>
      </w:r>
      <w:r>
        <w:rPr>
          <w:b/>
          <w:i/>
          <w:sz w:val="26"/>
          <w:szCs w:val="26"/>
        </w:rPr>
        <w:t>Deinococcus radiodurans</w:t>
      </w:r>
      <w:r>
        <w:rPr>
          <w:b/>
          <w:sz w:val="26"/>
          <w:szCs w:val="26"/>
        </w:rPr>
        <w:t xml:space="preserve"> using diverse approaches</w:t>
      </w:r>
    </w:p>
    <w:p>
      <w:pPr>
        <w:pStyle w:val="style0"/>
        <w:jc w:val="center"/>
      </w:pPr>
      <w:r>
        <w:rPr>
          <w:b/>
          <w:sz w:val="24"/>
          <w:szCs w:val="24"/>
        </w:rPr>
        <w:t>Shree Kumar Apte</w:t>
      </w:r>
    </w:p>
    <w:p>
      <w:pPr>
        <w:pStyle w:val="style0"/>
        <w:jc w:val="center"/>
      </w:pPr>
      <w:r>
        <w:rPr>
          <w:i/>
          <w:sz w:val="24"/>
          <w:szCs w:val="24"/>
        </w:rPr>
        <w:t>Molecular Biology Division, Bhabha Atomic Research Centre              Trombay, Mumbai-400085, India</w:t>
      </w:r>
    </w:p>
    <w:p>
      <w:pPr>
        <w:pStyle w:val="style0"/>
        <w:spacing w:line="480" w:lineRule="auto"/>
        <w:jc w:val="both"/>
      </w:pPr>
      <w:r>
        <w:rPr>
          <w:sz w:val="24"/>
          <w:szCs w:val="24"/>
        </w:rPr>
        <w:t xml:space="preserve">Removal of traces of uranium from nuclear waste poses a big challenge for its disposal. At the low concentrations of metal prevalent in such radioactive waste, physico-chemical methods are not effective and one has to resort to a microbial bioremediation (enzymatic) approach. Our laboratory has genetically engineered the extremely radioresistant bacterium </w:t>
      </w:r>
      <w:r>
        <w:rPr>
          <w:i/>
          <w:sz w:val="24"/>
          <w:szCs w:val="24"/>
        </w:rPr>
        <w:t>Deinococcus radiodurans</w:t>
      </w:r>
      <w:r>
        <w:rPr>
          <w:sz w:val="24"/>
          <w:szCs w:val="24"/>
        </w:rPr>
        <w:t xml:space="preserve"> to over-express either a non-specific acid phosphatase PhoN, or a high specific activity alkaline phosphatase PhoK, to achieve impressive uranium bioprecipitation over a wide pH (5-9) and uranium concentration (0.2-10 mM) range. Lyophilization has been successfully used for storage of bioprecipitation-active dry biomass, for up to 2 years at ambient temperature. Such biomass can be used in a batch process or in a column-based flow-through method to achieve uranium loading of up to 10g U/g dry biomass. Precipitation conditions have been optimized to accomplish easy and complete recovery of precipitated uranium over a wide pH range. Further augmentation of uranium bioremediation has been sought by (a) pyramiding </w:t>
      </w:r>
      <w:r>
        <w:rPr>
          <w:i/>
          <w:sz w:val="24"/>
          <w:szCs w:val="24"/>
        </w:rPr>
        <w:t>phoN</w:t>
      </w:r>
      <w:r>
        <w:rPr>
          <w:sz w:val="24"/>
          <w:szCs w:val="24"/>
        </w:rPr>
        <w:t xml:space="preserve"> and </w:t>
      </w:r>
      <w:r>
        <w:rPr>
          <w:i/>
          <w:sz w:val="24"/>
          <w:szCs w:val="24"/>
        </w:rPr>
        <w:t>phoK</w:t>
      </w:r>
      <w:r>
        <w:rPr>
          <w:sz w:val="24"/>
          <w:szCs w:val="24"/>
        </w:rPr>
        <w:t xml:space="preserve"> genes in one strain (b) employing radiation-responsive gene promoters from </w:t>
      </w:r>
      <w:r>
        <w:rPr>
          <w:i/>
          <w:sz w:val="24"/>
          <w:szCs w:val="24"/>
        </w:rPr>
        <w:t>D. radiodurans</w:t>
      </w:r>
      <w:r>
        <w:rPr>
          <w:sz w:val="24"/>
          <w:szCs w:val="24"/>
        </w:rPr>
        <w:t>, and (c) by surface display of bioremediation-active enzymes. Highlights of these findings will be presented.</w:t>
      </w:r>
    </w:p>
    <w:sect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4096" w:linePitch="360" w:type="default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alibri">
    <w:charset w:val="80"/>
    <w:family w:val="roman"/>
    <w:pitch w:val="variable"/>
  </w:font>
</w:font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tabs>
        <w:tab w:leader="none" w:pos="720" w:val="left"/>
      </w:tabs>
      <w:suppressAutoHyphens w:val="true"/>
      <w:spacing w:after="200" w:before="0" w:line="276" w:lineRule="auto"/>
    </w:pPr>
    <w:rPr>
      <w:rFonts w:ascii="Calibri" w:cs="Calibri" w:eastAsia="Droid Sans Fallback" w:hAnsi="Calibri"/>
      <w:color w:val="auto"/>
      <w:sz w:val="22"/>
      <w:szCs w:val="22"/>
      <w:lang w:bidi="ar-SA" w:eastAsia="en-US" w:val="en-US"/>
    </w:rPr>
  </w:style>
  <w:style w:styleId="style15" w:type="character">
    <w:name w:val="Default Paragraph Font"/>
    <w:next w:val="style15"/>
    <w:rPr/>
  </w:style>
  <w:style w:styleId="style16" w:type="paragraph">
    <w:name w:val="Heading"/>
    <w:basedOn w:val="style0"/>
    <w:next w:val="style17"/>
    <w:pPr>
      <w:keepNext/>
      <w:spacing w:after="120" w:before="240"/>
    </w:pPr>
    <w:rPr>
      <w:rFonts w:ascii="Liberation Sans" w:cs="Lohit Hindi" w:eastAsia="Droid Sans Fallback" w:hAnsi="Liberation Sans"/>
      <w:sz w:val="28"/>
      <w:szCs w:val="28"/>
    </w:rPr>
  </w:style>
  <w:style w:styleId="style17" w:type="paragraph">
    <w:name w:val="Text body"/>
    <w:basedOn w:val="style0"/>
    <w:next w:val="style17"/>
    <w:pPr>
      <w:spacing w:after="120" w:before="0"/>
    </w:pPr>
    <w:rPr/>
  </w:style>
  <w:style w:styleId="style18" w:type="paragraph">
    <w:name w:val="List"/>
    <w:basedOn w:val="style17"/>
    <w:next w:val="style18"/>
    <w:pPr/>
    <w:rPr>
      <w:rFonts w:cs="Lohit Hindi"/>
    </w:rPr>
  </w:style>
  <w:style w:styleId="style19" w:type="paragraph">
    <w:name w:val="Caption"/>
    <w:basedOn w:val="style0"/>
    <w:next w:val="style19"/>
    <w:pPr>
      <w:suppressLineNumbers/>
      <w:spacing w:after="120" w:before="120"/>
    </w:pPr>
    <w:rPr>
      <w:rFonts w:cs="Lohit Hindi"/>
      <w:i/>
      <w:iCs/>
      <w:sz w:val="24"/>
      <w:szCs w:val="24"/>
    </w:rPr>
  </w:style>
  <w:style w:styleId="style20" w:type="paragraph">
    <w:name w:val="Index"/>
    <w:basedOn w:val="style0"/>
    <w:next w:val="style20"/>
    <w:pPr>
      <w:suppressLineNumbers/>
    </w:pPr>
    <w:rPr>
      <w:rFonts w:cs="Lohit Hind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2017-01-09T08:10:00.00Z</dcterms:created>
  <dc:creator>aptesk</dc:creator>
  <cp:lastModifiedBy>aptesk</cp:lastModifiedBy>
  <dcterms:modified xsi:type="dcterms:W3CDTF">2017-01-09T09:21:00.00Z</dcterms:modified>
  <cp:revision>3</cp:revision>
</cp:coreProperties>
</file>