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4F7735" w:rsidRPr="00F43347">
        <w:rPr>
          <w:rFonts w:eastAsia="ＭＳ Ｐゴシック"/>
          <w:b/>
          <w:noProof/>
          <w:color w:val="000000"/>
          <w:sz w:val="28"/>
          <w:szCs w:val="28"/>
          <w:lang w:val="en-US" w:eastAsia="ja-JP"/>
        </w:rPr>
        <w:drawing>
          <wp:inline distT="0" distB="0" distL="0" distR="0">
            <wp:extent cx="1781175" cy="1457325"/>
            <wp:effectExtent l="0" t="0" r="0" b="0"/>
            <wp:docPr id="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1457325"/>
                    </a:xfrm>
                    <a:prstGeom prst="rect">
                      <a:avLst/>
                    </a:prstGeom>
                    <a:noFill/>
                    <a:ln>
                      <a:noFill/>
                    </a:ln>
                  </pic:spPr>
                </pic:pic>
              </a:graphicData>
            </a:graphic>
          </wp:inline>
        </w:drawing>
      </w:r>
    </w:p>
    <w:p w:rsidR="000911AB" w:rsidRDefault="000911AB" w:rsidP="000911AB">
      <w:pPr>
        <w:pStyle w:val="Title1"/>
      </w:pPr>
      <w:r>
        <w:t>Predicting H</w:t>
      </w:r>
      <w:r w:rsidRPr="00870A7E">
        <w:t>ydrolyzability</w:t>
      </w:r>
      <w:r>
        <w:t xml:space="preserve"> using </w:t>
      </w:r>
      <w:r>
        <w:rPr>
          <w:rFonts w:hint="eastAsia"/>
          <w:lang w:eastAsia="ja-JP"/>
        </w:rPr>
        <w:t xml:space="preserve">Logistic Regression Analyses and </w:t>
      </w:r>
      <w:r>
        <w:t>R</w:t>
      </w:r>
      <w:r w:rsidRPr="00870A7E">
        <w:t>egularization</w:t>
      </w:r>
      <w:r>
        <w:t xml:space="preserve"> Techniques</w:t>
      </w:r>
    </w:p>
    <w:p w:rsidR="000911AB" w:rsidRPr="00566C75" w:rsidRDefault="000911AB" w:rsidP="000911AB">
      <w:pPr>
        <w:rPr>
          <w:lang w:val="pl-PL"/>
        </w:rPr>
      </w:pPr>
    </w:p>
    <w:p w:rsidR="000911AB" w:rsidRPr="00481A7C" w:rsidRDefault="000911AB" w:rsidP="000911AB">
      <w:pPr>
        <w:jc w:val="center"/>
        <w:rPr>
          <w:b/>
        </w:rPr>
      </w:pPr>
      <w:r w:rsidRPr="00870A7E">
        <w:rPr>
          <w:rFonts w:hint="eastAsia"/>
          <w:b/>
        </w:rPr>
        <w:t xml:space="preserve">   </w:t>
      </w:r>
      <w:r w:rsidRPr="00870A7E">
        <w:rPr>
          <w:b/>
        </w:rPr>
        <w:t>Tomoko Hatta</w:t>
      </w:r>
      <w:r w:rsidRPr="00E45B6B">
        <w:rPr>
          <w:b/>
          <w:vertAlign w:val="superscript"/>
        </w:rPr>
        <w:t>1</w:t>
      </w:r>
      <w:r w:rsidRPr="00870A7E">
        <w:rPr>
          <w:b/>
        </w:rPr>
        <w:t>, Norihito Kawashita</w:t>
      </w:r>
      <w:r w:rsidRPr="00E45B6B">
        <w:rPr>
          <w:b/>
          <w:vertAlign w:val="superscript"/>
        </w:rPr>
        <w:t>1,2</w:t>
      </w:r>
      <w:r w:rsidRPr="00870A7E">
        <w:rPr>
          <w:b/>
        </w:rPr>
        <w:t>, Yu-</w:t>
      </w:r>
      <w:r>
        <w:rPr>
          <w:b/>
        </w:rPr>
        <w:t>shi Tian</w:t>
      </w:r>
      <w:r w:rsidRPr="00E45B6B">
        <w:rPr>
          <w:b/>
          <w:vertAlign w:val="superscript"/>
        </w:rPr>
        <w:t>3</w:t>
      </w:r>
      <w:r>
        <w:rPr>
          <w:b/>
        </w:rPr>
        <w:t xml:space="preserve">, </w:t>
      </w:r>
      <w:r w:rsidRPr="00E45B6B">
        <w:rPr>
          <w:b/>
          <w:u w:val="single"/>
        </w:rPr>
        <w:t>Tatsuya Takagi</w:t>
      </w:r>
      <w:r w:rsidRPr="00E45B6B">
        <w:rPr>
          <w:b/>
          <w:vertAlign w:val="superscript"/>
        </w:rPr>
        <w:t>1,2</w:t>
      </w:r>
    </w:p>
    <w:p w:rsidR="000911AB" w:rsidRPr="00AD3359" w:rsidRDefault="000911AB" w:rsidP="000911AB">
      <w:pPr>
        <w:pStyle w:val="Afiliation"/>
        <w:rPr>
          <w:lang w:val="en-US"/>
        </w:rPr>
      </w:pPr>
    </w:p>
    <w:p w:rsidR="000911AB" w:rsidRPr="004F4B55" w:rsidRDefault="000911AB" w:rsidP="000911AB">
      <w:pPr>
        <w:pStyle w:val="Afiliation"/>
        <w:jc w:val="center"/>
      </w:pPr>
      <w:r>
        <w:rPr>
          <w:vertAlign w:val="superscript"/>
          <w:lang w:val="en-US"/>
        </w:rPr>
        <w:t>1</w:t>
      </w:r>
      <w:r>
        <w:t>Graduate School of Pharmaceutical Sciences, Osaka University</w:t>
      </w:r>
      <w:r w:rsidRPr="004F4B55">
        <w:t xml:space="preserve">, </w:t>
      </w:r>
      <w:r>
        <w:t>1-6 Yamadaoka, Suita, Osaka 565-0871 JAPAN</w:t>
      </w:r>
    </w:p>
    <w:p w:rsidR="000911AB" w:rsidRDefault="000911AB" w:rsidP="000911AB">
      <w:pPr>
        <w:pStyle w:val="Afiliation"/>
        <w:jc w:val="center"/>
        <w:rPr>
          <w:lang w:val="en-US"/>
        </w:rPr>
      </w:pPr>
      <w:r>
        <w:rPr>
          <w:vertAlign w:val="superscript"/>
        </w:rPr>
        <w:t>2</w:t>
      </w:r>
      <w:r>
        <w:rPr>
          <w:lang w:val="en-US"/>
        </w:rPr>
        <w:t>Institute for Microbial Diseases, Osaka University, 3-1 Yamadaoka, Suita, Osaka 565-0871 JAPAN</w:t>
      </w:r>
    </w:p>
    <w:p w:rsidR="000911AB" w:rsidRPr="003F5BD8" w:rsidRDefault="000911AB" w:rsidP="000911AB">
      <w:pPr>
        <w:pStyle w:val="Afiliation"/>
        <w:jc w:val="center"/>
        <w:rPr>
          <w:lang w:val="en-US"/>
        </w:rPr>
      </w:pPr>
      <w:r w:rsidRPr="00F111C2">
        <w:rPr>
          <w:vertAlign w:val="superscript"/>
          <w:lang w:val="en-US"/>
        </w:rPr>
        <w:t>3</w:t>
      </w:r>
      <w:r>
        <w:rPr>
          <w:lang w:val="en-US"/>
        </w:rPr>
        <w:t xml:space="preserve"> Graduate </w:t>
      </w:r>
      <w:r>
        <w:rPr>
          <w:rFonts w:hint="eastAsia"/>
          <w:lang w:val="en-US" w:eastAsia="ja-JP"/>
        </w:rPr>
        <w:t>School</w:t>
      </w:r>
      <w:r>
        <w:rPr>
          <w:lang w:val="en-US" w:eastAsia="ja-JP"/>
        </w:rPr>
        <w:t xml:space="preserve"> of Information and Technology, Osaka University, 1-5 Yamadaoka, Suita 565-0871 JAPAN </w:t>
      </w:r>
      <w:r>
        <w:rPr>
          <w:lang w:val="en-US"/>
        </w:rPr>
        <w:br/>
      </w:r>
      <w:r w:rsidRPr="003F5BD8">
        <w:rPr>
          <w:lang w:val="en-US"/>
        </w:rPr>
        <w:t xml:space="preserve">email </w:t>
      </w:r>
      <w:r>
        <w:rPr>
          <w:lang w:val="en-US"/>
        </w:rPr>
        <w:t>ttakagi@phs.osaka-u.ac.jp</w:t>
      </w:r>
    </w:p>
    <w:p w:rsidR="000911AB" w:rsidRDefault="000911AB" w:rsidP="000911AB">
      <w:pPr>
        <w:pStyle w:val="MainText"/>
        <w:ind w:firstLine="0"/>
        <w:rPr>
          <w:rFonts w:hint="eastAsia"/>
          <w:sz w:val="24"/>
          <w:szCs w:val="24"/>
          <w:lang w:eastAsia="ja-JP"/>
        </w:rPr>
      </w:pPr>
    </w:p>
    <w:p w:rsidR="000911AB" w:rsidRDefault="000911AB" w:rsidP="000911AB">
      <w:pPr>
        <w:pStyle w:val="MainText"/>
        <w:ind w:firstLineChars="177" w:firstLine="425"/>
        <w:rPr>
          <w:sz w:val="24"/>
          <w:szCs w:val="24"/>
          <w:lang w:eastAsia="ja-JP"/>
        </w:rPr>
      </w:pPr>
      <w:r>
        <w:rPr>
          <w:sz w:val="24"/>
          <w:szCs w:val="24"/>
          <w:lang w:eastAsia="ja-JP"/>
        </w:rPr>
        <w:t>It is significant to estimate the environmental fates of chemical substances which are emitted from factories or as residential wastes. Especially, since hydrolysis plays a main role with regard to chemical substance degradation in the environment, hydrolyzability of such chemicals have to be revealed. However, experimentally obtaining the information is time</w:t>
      </w:r>
      <w:r>
        <w:rPr>
          <w:rFonts w:hint="eastAsia"/>
          <w:sz w:val="24"/>
          <w:szCs w:val="24"/>
          <w:lang w:eastAsia="ja-JP"/>
        </w:rPr>
        <w:t>-</w:t>
      </w:r>
      <w:r>
        <w:rPr>
          <w:sz w:val="24"/>
          <w:szCs w:val="24"/>
          <w:lang w:eastAsia="ja-JP"/>
        </w:rPr>
        <w:t>consuming. Thus, we tried to predict the hydrolyzability of esters and related compounds using logistic regressions and regular</w:t>
      </w:r>
      <w:r w:rsidR="00566C75">
        <w:rPr>
          <w:sz w:val="24"/>
          <w:szCs w:val="24"/>
          <w:lang w:eastAsia="ja-JP"/>
        </w:rPr>
        <w:t>ization methods.</w:t>
      </w:r>
    </w:p>
    <w:p w:rsidR="000911AB" w:rsidRDefault="000911AB" w:rsidP="00F43347">
      <w:pPr>
        <w:pStyle w:val="MainText"/>
        <w:ind w:firstLineChars="177" w:firstLine="425"/>
        <w:rPr>
          <w:sz w:val="24"/>
          <w:szCs w:val="24"/>
          <w:lang w:eastAsia="ja-JP"/>
        </w:rPr>
      </w:pPr>
      <w:r>
        <w:rPr>
          <w:sz w:val="24"/>
          <w:szCs w:val="24"/>
          <w:lang w:eastAsia="ja-JP"/>
        </w:rPr>
        <w:t xml:space="preserve">The hydrolyzability data of </w:t>
      </w:r>
      <w:r>
        <w:rPr>
          <w:rFonts w:hint="eastAsia"/>
          <w:sz w:val="24"/>
          <w:szCs w:val="24"/>
          <w:lang w:eastAsia="ja-JP"/>
        </w:rPr>
        <w:t>143 chemicals</w:t>
      </w:r>
      <w:r>
        <w:rPr>
          <w:sz w:val="24"/>
          <w:szCs w:val="24"/>
          <w:lang w:eastAsia="ja-JP"/>
        </w:rPr>
        <w:t>, which were ext</w:t>
      </w:r>
      <w:r w:rsidR="00F43347">
        <w:rPr>
          <w:sz w:val="24"/>
          <w:szCs w:val="24"/>
          <w:lang w:eastAsia="ja-JP"/>
        </w:rPr>
        <w:t>racted from</w:t>
      </w:r>
      <w:r>
        <w:rPr>
          <w:sz w:val="24"/>
          <w:szCs w:val="24"/>
          <w:lang w:eastAsia="ja-JP"/>
        </w:rPr>
        <w:t xml:space="preserve"> literatures</w:t>
      </w:r>
      <w:r>
        <w:rPr>
          <w:sz w:val="24"/>
          <w:szCs w:val="24"/>
          <w:lang w:eastAsia="ja-JP"/>
        </w:rPr>
        <w:t>, were used for these analyses. These chemicals were classified into the two categories, ‘</w:t>
      </w:r>
      <w:r w:rsidR="00F43347">
        <w:rPr>
          <w:sz w:val="24"/>
          <w:szCs w:val="24"/>
          <w:lang w:eastAsia="ja-JP"/>
        </w:rPr>
        <w:t>stable’ and ‘hydrolizable’, according to</w:t>
      </w:r>
      <w:r>
        <w:rPr>
          <w:sz w:val="24"/>
          <w:szCs w:val="24"/>
          <w:lang w:eastAsia="ja-JP"/>
        </w:rPr>
        <w:t xml:space="preserve"> their half-life periods. They were also classified into the four groups, all chemicals (143), esters (73), amides, and o</w:t>
      </w:r>
      <w:r w:rsidR="00F43347">
        <w:rPr>
          <w:sz w:val="24"/>
          <w:szCs w:val="24"/>
          <w:lang w:eastAsia="ja-JP"/>
        </w:rPr>
        <w:t>thers</w:t>
      </w:r>
      <w:r>
        <w:rPr>
          <w:sz w:val="24"/>
          <w:szCs w:val="24"/>
          <w:lang w:eastAsia="ja-JP"/>
        </w:rPr>
        <w:t>. In this study, th</w:t>
      </w:r>
      <w:r w:rsidR="00F43347">
        <w:rPr>
          <w:sz w:val="24"/>
          <w:szCs w:val="24"/>
          <w:lang w:eastAsia="ja-JP"/>
        </w:rPr>
        <w:t>e former two groups were analysed</w:t>
      </w:r>
      <w:r>
        <w:rPr>
          <w:sz w:val="24"/>
          <w:szCs w:val="24"/>
          <w:lang w:eastAsia="ja-JP"/>
        </w:rPr>
        <w:t>.</w:t>
      </w:r>
      <w:r>
        <w:rPr>
          <w:rFonts w:hint="eastAsia"/>
          <w:sz w:val="24"/>
          <w:szCs w:val="24"/>
          <w:lang w:eastAsia="ja-JP"/>
        </w:rPr>
        <w:t xml:space="preserve"> </w:t>
      </w:r>
      <w:r>
        <w:rPr>
          <w:sz w:val="24"/>
          <w:szCs w:val="24"/>
          <w:lang w:eastAsia="ja-JP"/>
        </w:rPr>
        <w:t>88 chemical descriptors were prepared for predicting the hydrolyzability. All the datasets were divided into training(3/4) and test(1/4) s</w:t>
      </w:r>
      <w:r w:rsidR="008361FF">
        <w:rPr>
          <w:sz w:val="24"/>
          <w:szCs w:val="24"/>
          <w:lang w:eastAsia="ja-JP"/>
        </w:rPr>
        <w:t xml:space="preserve">ets. </w:t>
      </w:r>
      <w:r w:rsidR="00F43347">
        <w:rPr>
          <w:sz w:val="24"/>
          <w:szCs w:val="24"/>
          <w:lang w:eastAsia="ja-JP"/>
        </w:rPr>
        <w:t xml:space="preserve">Lasso </w:t>
      </w:r>
      <w:r w:rsidR="008361FF">
        <w:rPr>
          <w:sz w:val="24"/>
          <w:szCs w:val="24"/>
          <w:lang w:eastAsia="ja-JP"/>
        </w:rPr>
        <w:t xml:space="preserve">was used as a regularization </w:t>
      </w:r>
      <w:r>
        <w:rPr>
          <w:sz w:val="24"/>
          <w:szCs w:val="24"/>
          <w:lang w:eastAsia="ja-JP"/>
        </w:rPr>
        <w:t>method.</w:t>
      </w:r>
    </w:p>
    <w:p w:rsidR="000911AB" w:rsidRPr="00F43347" w:rsidRDefault="000911AB" w:rsidP="00F43347">
      <w:pPr>
        <w:pStyle w:val="MainText"/>
        <w:ind w:firstLineChars="177" w:firstLine="425"/>
        <w:rPr>
          <w:rFonts w:hint="eastAsia"/>
          <w:sz w:val="24"/>
          <w:szCs w:val="24"/>
          <w:lang w:eastAsia="ja-JP"/>
        </w:rPr>
      </w:pPr>
      <w:r>
        <w:rPr>
          <w:sz w:val="24"/>
          <w:szCs w:val="24"/>
          <w:lang w:eastAsia="ja-JP"/>
        </w:rPr>
        <w:t xml:space="preserve">We built the model equation by the two techniques using only training data sets. As the results of the analyses, training data were perfectly predicted in the case of esters, and sufficient results were obtained in the case of all chemicals. Even in the case of </w:t>
      </w:r>
      <w:r>
        <w:rPr>
          <w:rFonts w:hint="eastAsia"/>
          <w:sz w:val="24"/>
          <w:szCs w:val="24"/>
          <w:lang w:eastAsia="ja-JP"/>
        </w:rPr>
        <w:t>the</w:t>
      </w:r>
      <w:r>
        <w:rPr>
          <w:sz w:val="24"/>
          <w:szCs w:val="24"/>
          <w:lang w:eastAsia="ja-JP"/>
        </w:rPr>
        <w:t xml:space="preserve"> </w:t>
      </w:r>
      <w:r>
        <w:rPr>
          <w:sz w:val="24"/>
          <w:szCs w:val="24"/>
          <w:lang w:eastAsia="ja-JP"/>
        </w:rPr>
        <w:t>test data sets, satisfactory results were obtained.</w:t>
      </w:r>
    </w:p>
    <w:p w:rsidR="000911AB" w:rsidRDefault="000911AB" w:rsidP="00F43347">
      <w:pPr>
        <w:spacing w:beforeLines="50" w:before="120"/>
        <w:rPr>
          <w:sz w:val="20"/>
          <w:szCs w:val="20"/>
          <w:lang w:val="en-US"/>
        </w:rPr>
      </w:pPr>
      <w:r w:rsidRPr="00E20CB4">
        <w:rPr>
          <w:b/>
          <w:sz w:val="20"/>
          <w:szCs w:val="20"/>
          <w:lang w:val="en-US"/>
        </w:rPr>
        <w:t>Acknowledgement</w:t>
      </w:r>
      <w:r w:rsidRPr="00E20CB4">
        <w:rPr>
          <w:sz w:val="20"/>
          <w:szCs w:val="20"/>
          <w:lang w:val="en-US"/>
        </w:rPr>
        <w:t xml:space="preserve">: </w:t>
      </w:r>
      <w:r w:rsidRPr="00CE4F66">
        <w:rPr>
          <w:rFonts w:hint="eastAsia"/>
          <w:sz w:val="20"/>
          <w:szCs w:val="20"/>
          <w:lang w:val="en-US"/>
        </w:rPr>
        <w:t>：</w:t>
      </w:r>
      <w:r w:rsidRPr="00C44C77">
        <w:rPr>
          <w:rFonts w:hint="eastAsia"/>
          <w:sz w:val="19"/>
          <w:szCs w:val="19"/>
          <w:lang w:val="en-US"/>
        </w:rPr>
        <w:t xml:space="preserve">This work was supported by Grant-in-Aid for Scientific Research (C) </w:t>
      </w:r>
      <w:r w:rsidRPr="00C44C77">
        <w:rPr>
          <w:sz w:val="19"/>
          <w:szCs w:val="19"/>
          <w:lang w:val="en-US"/>
        </w:rPr>
        <w:t>No.</w:t>
      </w:r>
      <w:r w:rsidRPr="00C44C77">
        <w:rPr>
          <w:rFonts w:hint="eastAsia"/>
          <w:sz w:val="19"/>
          <w:szCs w:val="19"/>
          <w:lang w:val="en-US"/>
        </w:rPr>
        <w:t>25460035</w:t>
      </w:r>
      <w:r w:rsidRPr="00C44C77">
        <w:rPr>
          <w:sz w:val="19"/>
          <w:szCs w:val="19"/>
          <w:lang w:val="en-US"/>
        </w:rPr>
        <w:t xml:space="preserve"> by JSPS</w:t>
      </w:r>
      <w:r w:rsidRPr="00C44C77">
        <w:rPr>
          <w:rFonts w:hint="eastAsia"/>
          <w:sz w:val="19"/>
          <w:szCs w:val="19"/>
          <w:lang w:val="en-US"/>
        </w:rPr>
        <w:t>.</w:t>
      </w:r>
    </w:p>
    <w:p w:rsidR="000911AB" w:rsidRDefault="000911AB" w:rsidP="00AC3BCD">
      <w:pPr>
        <w:jc w:val="both"/>
        <w:rPr>
          <w:b/>
          <w:sz w:val="20"/>
          <w:szCs w:val="20"/>
        </w:rPr>
      </w:pPr>
    </w:p>
    <w:p w:rsidR="00AC3BCD" w:rsidRDefault="00AC3BCD" w:rsidP="00AC3BCD">
      <w:pPr>
        <w:jc w:val="both"/>
        <w:rPr>
          <w:b/>
        </w:rPr>
      </w:pPr>
      <w:r>
        <w:rPr>
          <w:b/>
        </w:rPr>
        <w:t>Biography</w:t>
      </w:r>
    </w:p>
    <w:p w:rsidR="00F43347" w:rsidRDefault="00F43347" w:rsidP="00F43347">
      <w:pPr>
        <w:spacing w:beforeLines="50" w:before="120"/>
        <w:jc w:val="both"/>
        <w:rPr>
          <w:b/>
        </w:rPr>
      </w:pPr>
      <w:r>
        <w:rPr>
          <w:rFonts w:hint="eastAsia"/>
          <w:lang w:eastAsia="ja-JP"/>
        </w:rPr>
        <w:t>Tatsuya TAKAGI</w:t>
      </w:r>
      <w:r>
        <w:t xml:space="preserve"> has completed his Ph.D. at the age of </w:t>
      </w:r>
      <w:r>
        <w:rPr>
          <w:rFonts w:hint="eastAsia"/>
          <w:lang w:eastAsia="ja-JP"/>
        </w:rPr>
        <w:t>32</w:t>
      </w:r>
      <w:r>
        <w:t xml:space="preserve"> from </w:t>
      </w:r>
      <w:r>
        <w:rPr>
          <w:rFonts w:hint="eastAsia"/>
          <w:lang w:eastAsia="ja-JP"/>
        </w:rPr>
        <w:t>Osaka</w:t>
      </w:r>
      <w:r>
        <w:t xml:space="preserve"> University</w:t>
      </w:r>
      <w:r>
        <w:rPr>
          <w:rFonts w:hint="eastAsia"/>
          <w:lang w:eastAsia="ja-JP"/>
        </w:rPr>
        <w:t>.</w:t>
      </w:r>
      <w:r>
        <w:t xml:space="preserve"> </w:t>
      </w:r>
      <w:r>
        <w:rPr>
          <w:rFonts w:hint="eastAsia"/>
          <w:lang w:eastAsia="ja-JP"/>
        </w:rPr>
        <w:t xml:space="preserve">At that time, he had been </w:t>
      </w:r>
      <w:r>
        <w:rPr>
          <w:lang w:eastAsia="ja-JP"/>
        </w:rPr>
        <w:t>an</w:t>
      </w:r>
      <w:r>
        <w:rPr>
          <w:rFonts w:hint="eastAsia"/>
          <w:lang w:eastAsia="ja-JP"/>
        </w:rPr>
        <w:t xml:space="preserve"> Assistant Professor of School of Pharmaceutical Sciences, Osaka University for 5 years</w:t>
      </w:r>
      <w:r>
        <w:t>.</w:t>
      </w:r>
      <w:r>
        <w:rPr>
          <w:rFonts w:hint="eastAsia"/>
          <w:lang w:eastAsia="ja-JP"/>
        </w:rPr>
        <w:t xml:space="preserve"> Then, since 1993, he had worked for the Genome Information Research Center, Osaka University as a</w:t>
      </w:r>
      <w:r>
        <w:rPr>
          <w:lang w:eastAsia="ja-JP"/>
        </w:rPr>
        <w:t>n</w:t>
      </w:r>
      <w:r>
        <w:rPr>
          <w:rFonts w:hint="eastAsia"/>
          <w:lang w:eastAsia="ja-JP"/>
        </w:rPr>
        <w:t xml:space="preserve"> Associate Professor until he became a professor of Graduate School of Pharmaceutical Sciences, Osaka University in 1998</w:t>
      </w:r>
      <w:r>
        <w:t xml:space="preserve">. He has published more than </w:t>
      </w:r>
      <w:r>
        <w:rPr>
          <w:rFonts w:hint="eastAsia"/>
          <w:lang w:eastAsia="ja-JP"/>
        </w:rPr>
        <w:t>100</w:t>
      </w:r>
      <w:r>
        <w:t xml:space="preserve"> papers in reputed journals and serving as C</w:t>
      </w:r>
      <w:r w:rsidRPr="009F5A7E">
        <w:t>hairman</w:t>
      </w:r>
      <w:r>
        <w:rPr>
          <w:rFonts w:hint="eastAsia"/>
          <w:lang w:eastAsia="ja-JP"/>
        </w:rPr>
        <w:t xml:space="preserve"> of Division of Structure-Activity Relationship of the Pharmaceutical Society of Japan</w:t>
      </w:r>
      <w:r>
        <w:t>.</w:t>
      </w:r>
    </w:p>
    <w:p w:rsidR="00AC3BCD" w:rsidRPr="00A41107" w:rsidRDefault="00DA2249" w:rsidP="00AC3BCD">
      <w:pPr>
        <w:jc w:val="both"/>
        <w:rPr>
          <w:rFonts w:eastAsia="ＭＳ Ｐゴシック"/>
          <w:b/>
          <w:color w:val="000000"/>
          <w:szCs w:val="32"/>
        </w:rPr>
      </w:pPr>
      <w:r>
        <w:tab/>
      </w:r>
    </w:p>
    <w:p w:rsidR="00AC3BCD" w:rsidRDefault="00072E30" w:rsidP="004F7735">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361FF">
        <w:rPr>
          <w:lang w:val="en-NZ"/>
        </w:rPr>
        <w:t>Tatsuya TAKAGI</w:t>
      </w:r>
      <w:r w:rsidRPr="008A690F">
        <w:rPr>
          <w:lang w:val="en-NZ"/>
        </w:rPr>
        <w:br/>
        <w:t>Contact number:</w:t>
      </w:r>
      <w:r w:rsidR="008361FF">
        <w:rPr>
          <w:lang w:val="en-NZ"/>
        </w:rPr>
        <w:t xml:space="preserve"> +81-6-6879-8243</w:t>
      </w:r>
      <w:r w:rsidRPr="008A690F">
        <w:rPr>
          <w:lang w:val="en-NZ"/>
        </w:rPr>
        <w:br/>
        <w:t>Twitter account:</w:t>
      </w:r>
      <w:r w:rsidR="008361FF">
        <w:rPr>
          <w:lang w:val="en-NZ"/>
        </w:rPr>
        <w:t xml:space="preserve"> </w:t>
      </w:r>
      <w:r w:rsidR="00566C75" w:rsidRPr="00566C75">
        <w:rPr>
          <w:lang w:val="en-NZ"/>
        </w:rPr>
        <w:t>@finegan_wake</w:t>
      </w:r>
      <w:r w:rsidR="00566C75">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4F7735" w:rsidRPr="004F7735">
        <w:t xml:space="preserve"> </w:t>
      </w:r>
      <w:r w:rsidR="004F7735" w:rsidRPr="004F7735">
        <w:rPr>
          <w:lang w:val="en-NZ"/>
        </w:rPr>
        <w:t>Multiple regression with categorical data</w:t>
      </w:r>
      <w:r w:rsidR="00AC3BCD" w:rsidRPr="008A690F">
        <w:rPr>
          <w:lang w:val="en-NZ"/>
        </w:rPr>
        <w:br/>
        <w:t>Cate</w:t>
      </w:r>
      <w:r w:rsidR="004F7735">
        <w:rPr>
          <w:lang w:val="en-NZ"/>
        </w:rPr>
        <w:t>gory: Oral presentation</w:t>
      </w:r>
      <w:r w:rsidR="00DA581F">
        <w:rPr>
          <w:lang w:val="en-NZ"/>
        </w:rPr>
        <w:br/>
      </w: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af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7E0AB0"/>
    <w:multiLevelType w:val="hybridMultilevel"/>
    <w:tmpl w:val="30EE829E"/>
    <w:lvl w:ilvl="0" w:tplc="058E9B44">
      <w:start w:val="1"/>
      <w:numFmt w:val="decimal"/>
      <w:pStyle w:val="a"/>
      <w:lvlText w:val="[%1] "/>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11AB"/>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F7735"/>
    <w:rsid w:val="00505DA1"/>
    <w:rsid w:val="005408D9"/>
    <w:rsid w:val="00555DAD"/>
    <w:rsid w:val="00566C75"/>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361FF"/>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43347"/>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EEF63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lang w:val="it-IT" w:eastAsia="it-IT"/>
    </w:rPr>
  </w:style>
  <w:style w:type="paragraph" w:styleId="1">
    <w:name w:val="heading 1"/>
    <w:aliases w:val="title"/>
    <w:basedOn w:val="a0"/>
    <w:next w:val="a0"/>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0"/>
    <w:next w:val="a0"/>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1">
    <w:name w:val="Default Paragraph Font"/>
    <w:uiPriority w:val="99"/>
    <w:semiHidden/>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aliases w:val="title (文字)"/>
    <w:link w:val="1"/>
    <w:uiPriority w:val="9"/>
    <w:rPr>
      <w:rFonts w:ascii="Cambria" w:eastAsia="Times New Roman" w:hAnsi="Cambria" w:cs="Times New Roman"/>
      <w:b/>
      <w:bCs/>
      <w:kern w:val="32"/>
      <w:sz w:val="32"/>
      <w:szCs w:val="32"/>
    </w:rPr>
  </w:style>
  <w:style w:type="character" w:customStyle="1" w:styleId="30">
    <w:name w:val="見出し 3 (文字)"/>
    <w:aliases w:val="Authors (文字)"/>
    <w:link w:val="3"/>
    <w:uiPriority w:val="9"/>
    <w:semiHidden/>
    <w:rPr>
      <w:rFonts w:ascii="Cambria" w:eastAsia="Times New Roman" w:hAnsi="Cambria" w:cs="Times New Roman"/>
      <w:b/>
      <w:bCs/>
      <w:sz w:val="26"/>
      <w:szCs w:val="26"/>
    </w:rPr>
  </w:style>
  <w:style w:type="character" w:styleId="a4">
    <w:name w:val="Hyperlink"/>
    <w:uiPriority w:val="99"/>
    <w:rsid w:val="007258AA"/>
    <w:rPr>
      <w:rFonts w:cs="Times New Roman"/>
      <w:color w:val="0000FF"/>
      <w:u w:val="single"/>
    </w:rPr>
  </w:style>
  <w:style w:type="paragraph" w:styleId="a5">
    <w:name w:val="Body Text"/>
    <w:basedOn w:val="a0"/>
    <w:link w:val="a6"/>
    <w:uiPriority w:val="99"/>
    <w:rsid w:val="007258AA"/>
    <w:pPr>
      <w:suppressAutoHyphens/>
      <w:jc w:val="center"/>
    </w:pPr>
    <w:rPr>
      <w:rFonts w:cs="Gautami"/>
      <w:lang w:val="x-none" w:eastAsia="x-none" w:bidi="te-IN"/>
    </w:rPr>
  </w:style>
  <w:style w:type="character" w:customStyle="1" w:styleId="a6">
    <w:name w:val="本文 (文字)"/>
    <w:link w:val="a5"/>
    <w:uiPriority w:val="99"/>
    <w:semiHidden/>
    <w:rPr>
      <w:sz w:val="24"/>
      <w:szCs w:val="24"/>
    </w:rPr>
  </w:style>
  <w:style w:type="character" w:styleId="a7">
    <w:name w:val="annotation reference"/>
    <w:uiPriority w:val="99"/>
    <w:semiHidden/>
    <w:rsid w:val="00205354"/>
    <w:rPr>
      <w:rFonts w:cs="Times New Roman"/>
      <w:sz w:val="16"/>
      <w:szCs w:val="16"/>
    </w:rPr>
  </w:style>
  <w:style w:type="paragraph" w:styleId="a8">
    <w:name w:val="annotation text"/>
    <w:basedOn w:val="a0"/>
    <w:link w:val="a9"/>
    <w:uiPriority w:val="99"/>
    <w:semiHidden/>
    <w:rsid w:val="00205354"/>
    <w:rPr>
      <w:rFonts w:cs="Gautami"/>
      <w:sz w:val="20"/>
      <w:szCs w:val="20"/>
      <w:lang w:val="x-none" w:eastAsia="x-none" w:bidi="te-IN"/>
    </w:rPr>
  </w:style>
  <w:style w:type="character" w:customStyle="1" w:styleId="a9">
    <w:name w:val="コメント文字列 (文字)"/>
    <w:link w:val="a8"/>
    <w:uiPriority w:val="99"/>
    <w:semiHidden/>
    <w:rPr>
      <w:sz w:val="20"/>
      <w:szCs w:val="20"/>
    </w:rPr>
  </w:style>
  <w:style w:type="paragraph" w:styleId="aa">
    <w:name w:val="annotation subject"/>
    <w:basedOn w:val="a8"/>
    <w:next w:val="a8"/>
    <w:link w:val="ab"/>
    <w:uiPriority w:val="99"/>
    <w:semiHidden/>
    <w:rsid w:val="00205354"/>
    <w:rPr>
      <w:b/>
      <w:bCs/>
    </w:rPr>
  </w:style>
  <w:style w:type="character" w:customStyle="1" w:styleId="ab">
    <w:name w:val="コメント内容 (文字)"/>
    <w:link w:val="aa"/>
    <w:uiPriority w:val="99"/>
    <w:semiHidden/>
    <w:rPr>
      <w:b/>
      <w:bCs/>
      <w:sz w:val="20"/>
      <w:szCs w:val="20"/>
    </w:rPr>
  </w:style>
  <w:style w:type="paragraph" w:styleId="ac">
    <w:name w:val="Balloon Text"/>
    <w:basedOn w:val="a0"/>
    <w:link w:val="ad"/>
    <w:uiPriority w:val="99"/>
    <w:semiHidden/>
    <w:rsid w:val="00205354"/>
    <w:rPr>
      <w:rFonts w:ascii="Tahoma" w:hAnsi="Tahoma" w:cs="Gautami"/>
      <w:sz w:val="16"/>
      <w:szCs w:val="16"/>
      <w:lang w:val="x-none" w:eastAsia="x-none" w:bidi="te-IN"/>
    </w:rPr>
  </w:style>
  <w:style w:type="character" w:customStyle="1" w:styleId="ad">
    <w:name w:val="吹き出し (文字)"/>
    <w:link w:val="ac"/>
    <w:uiPriority w:val="99"/>
    <w:semiHidden/>
    <w:rPr>
      <w:rFonts w:ascii="Tahoma" w:hAnsi="Tahoma" w:cs="Tahoma"/>
      <w:sz w:val="16"/>
      <w:szCs w:val="16"/>
    </w:rPr>
  </w:style>
  <w:style w:type="paragraph" w:styleId="ae">
    <w:name w:val="Body Text Indent"/>
    <w:basedOn w:val="a0"/>
    <w:link w:val="af"/>
    <w:uiPriority w:val="99"/>
    <w:rsid w:val="00FC1073"/>
    <w:pPr>
      <w:spacing w:after="120"/>
      <w:ind w:left="283"/>
    </w:pPr>
    <w:rPr>
      <w:rFonts w:cs="Gautami"/>
      <w:lang w:val="x-none" w:eastAsia="x-none" w:bidi="te-IN"/>
    </w:rPr>
  </w:style>
  <w:style w:type="character" w:customStyle="1" w:styleId="af">
    <w:name w:val="本文インデント (文字)"/>
    <w:link w:val="ae"/>
    <w:uiPriority w:val="99"/>
    <w:semiHidden/>
    <w:rPr>
      <w:sz w:val="24"/>
      <w:szCs w:val="24"/>
    </w:rPr>
  </w:style>
  <w:style w:type="paragraph" w:styleId="af0">
    <w:name w:val="header"/>
    <w:basedOn w:val="a0"/>
    <w:link w:val="af1"/>
    <w:uiPriority w:val="99"/>
    <w:unhideWhenUsed/>
    <w:rsid w:val="00671A59"/>
    <w:pPr>
      <w:tabs>
        <w:tab w:val="center" w:pos="4819"/>
        <w:tab w:val="right" w:pos="9638"/>
      </w:tabs>
    </w:pPr>
    <w:rPr>
      <w:rFonts w:cs="Gautami"/>
      <w:lang w:val="x-none" w:eastAsia="x-none" w:bidi="te-IN"/>
    </w:rPr>
  </w:style>
  <w:style w:type="character" w:customStyle="1" w:styleId="af1">
    <w:name w:val="ヘッダー (文字)"/>
    <w:link w:val="af0"/>
    <w:uiPriority w:val="99"/>
    <w:rsid w:val="00671A59"/>
    <w:rPr>
      <w:sz w:val="24"/>
      <w:szCs w:val="24"/>
    </w:rPr>
  </w:style>
  <w:style w:type="paragraph" w:styleId="af2">
    <w:name w:val="footer"/>
    <w:basedOn w:val="a0"/>
    <w:link w:val="af3"/>
    <w:uiPriority w:val="99"/>
    <w:semiHidden/>
    <w:unhideWhenUsed/>
    <w:rsid w:val="00671A59"/>
    <w:pPr>
      <w:tabs>
        <w:tab w:val="center" w:pos="4819"/>
        <w:tab w:val="right" w:pos="9638"/>
      </w:tabs>
    </w:pPr>
    <w:rPr>
      <w:rFonts w:cs="Gautami"/>
      <w:lang w:val="x-none" w:eastAsia="x-none" w:bidi="te-IN"/>
    </w:rPr>
  </w:style>
  <w:style w:type="character" w:customStyle="1" w:styleId="af3">
    <w:name w:val="フッター (文字)"/>
    <w:link w:val="af2"/>
    <w:uiPriority w:val="99"/>
    <w:semiHidden/>
    <w:rsid w:val="00671A59"/>
    <w:rPr>
      <w:sz w:val="24"/>
      <w:szCs w:val="24"/>
    </w:rPr>
  </w:style>
  <w:style w:type="paragraph" w:customStyle="1" w:styleId="xmsonormal">
    <w:name w:val="x_msonormal"/>
    <w:basedOn w:val="a0"/>
    <w:rsid w:val="00A76E81"/>
  </w:style>
  <w:style w:type="paragraph" w:styleId="Web">
    <w:name w:val="Normal (Web)"/>
    <w:basedOn w:val="a0"/>
    <w:rsid w:val="00A76E81"/>
  </w:style>
  <w:style w:type="paragraph" w:customStyle="1" w:styleId="xmsonormal0">
    <w:name w:val="xmsonormal"/>
    <w:basedOn w:val="a0"/>
    <w:rsid w:val="00A76E81"/>
  </w:style>
  <w:style w:type="paragraph" w:customStyle="1" w:styleId="Title1">
    <w:name w:val="Title1"/>
    <w:basedOn w:val="a0"/>
    <w:rsid w:val="000911AB"/>
    <w:pPr>
      <w:suppressAutoHyphens/>
      <w:jc w:val="center"/>
    </w:pPr>
    <w:rPr>
      <w:rFonts w:eastAsia="ＭＳ 明朝"/>
      <w:b/>
      <w:sz w:val="28"/>
      <w:szCs w:val="28"/>
      <w:lang w:val="pl-PL" w:eastAsia="ar-SA"/>
    </w:rPr>
  </w:style>
  <w:style w:type="paragraph" w:customStyle="1" w:styleId="Afiliation">
    <w:name w:val="Afiliation"/>
    <w:basedOn w:val="a0"/>
    <w:rsid w:val="000911AB"/>
    <w:pPr>
      <w:suppressAutoHyphens/>
      <w:jc w:val="both"/>
    </w:pPr>
    <w:rPr>
      <w:rFonts w:eastAsia="ＭＳ 明朝"/>
      <w:i/>
      <w:sz w:val="20"/>
      <w:szCs w:val="20"/>
      <w:lang w:val="pl-PL" w:eastAsia="ar-SA"/>
    </w:rPr>
  </w:style>
  <w:style w:type="paragraph" w:customStyle="1" w:styleId="MainText">
    <w:name w:val="Main Text"/>
    <w:rsid w:val="000911AB"/>
    <w:pPr>
      <w:ind w:firstLine="142"/>
      <w:jc w:val="both"/>
    </w:pPr>
    <w:rPr>
      <w:rFonts w:eastAsia="ＭＳ 明朝"/>
      <w:lang w:val="pl-PL" w:eastAsia="ar-SA"/>
    </w:rPr>
  </w:style>
  <w:style w:type="paragraph" w:styleId="a">
    <w:name w:val="table of authorities"/>
    <w:basedOn w:val="a0"/>
    <w:rsid w:val="000911AB"/>
    <w:pPr>
      <w:widowControl w:val="0"/>
      <w:numPr>
        <w:numId w:val="4"/>
      </w:numPr>
      <w:tabs>
        <w:tab w:val="clear" w:pos="454"/>
        <w:tab w:val="left" w:pos="420"/>
      </w:tabs>
      <w:spacing w:line="0" w:lineRule="atLeast"/>
      <w:ind w:left="420" w:hangingChars="200" w:hanging="420"/>
      <w:jc w:val="both"/>
    </w:pPr>
    <w:rPr>
      <w:rFonts w:eastAsia="ＭＳ 明朝"/>
      <w:kern w:val="2"/>
      <w:sz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C5610-F572-40C0-8DAB-100FE50F2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2503</Characters>
  <Application>Microsoft Office Word</Application>
  <DocSecurity>0</DocSecurity>
  <Lines>20</Lines>
  <Paragraphs>5</Paragraphs>
  <ScaleCrop>false</ScaleCrop>
  <HeadingPairs>
    <vt:vector size="6" baseType="variant">
      <vt:variant>
        <vt:lpstr>タイトル</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2016-08-23T07:03:00Z</dcterms:created>
  <dcterms:modified xsi:type="dcterms:W3CDTF">2016-08-23T07:03:00Z</dcterms:modified>
</cp:coreProperties>
</file>