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DAAB1" w14:textId="1361C4E1" w:rsidR="00AE3E37" w:rsidRDefault="00B32AEC" w:rsidP="000534A1">
      <w:pPr>
        <w:pStyle w:val="Heading1"/>
        <w:spacing w:before="170"/>
        <w:ind w:left="0"/>
        <w:jc w:val="both"/>
      </w:pPr>
      <w:r>
        <w:rPr>
          <w:color w:val="337AB7"/>
        </w:rPr>
        <w:t>U.S. Biosimilars Market – A Deep Dive</w:t>
      </w:r>
    </w:p>
    <w:p w14:paraId="15D0E46E" w14:textId="2C657215" w:rsidR="00B32AEC" w:rsidRDefault="00B32AEC" w:rsidP="005973B9">
      <w:pPr>
        <w:pStyle w:val="BodyText"/>
        <w:spacing w:before="73" w:line="198" w:lineRule="exact"/>
        <w:ind w:left="100" w:right="5987"/>
        <w:rPr>
          <w:rFonts w:ascii="Arial"/>
        </w:rPr>
      </w:pPr>
      <w:r>
        <w:rPr>
          <w:rFonts w:ascii="Arial"/>
        </w:rPr>
        <w:t>Aiswariya Chidambaram, MHSM, PMP, Independent Consultant, USA</w:t>
      </w:r>
    </w:p>
    <w:p w14:paraId="70D3AAAB" w14:textId="77777777" w:rsidR="00AE3E37" w:rsidRDefault="00AE3E37">
      <w:pPr>
        <w:pStyle w:val="BodyText"/>
        <w:rPr>
          <w:rFonts w:ascii="Arial"/>
          <w:sz w:val="20"/>
        </w:rPr>
      </w:pPr>
    </w:p>
    <w:p w14:paraId="03476001"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643ABFD5" w14:textId="77777777" w:rsidR="00AE3E37" w:rsidRDefault="00A9710C">
      <w:pPr>
        <w:pStyle w:val="Heading3"/>
        <w:spacing w:before="147"/>
        <w:jc w:val="both"/>
      </w:pPr>
      <w:r>
        <w:rPr>
          <w:color w:val="BF5A14"/>
        </w:rPr>
        <w:t>Abstract</w:t>
      </w:r>
      <w:r w:rsidR="00404E5B">
        <w:rPr>
          <w:color w:val="BF5A14"/>
        </w:rPr>
        <w:t xml:space="preserve"> (300 word limit)</w:t>
      </w:r>
    </w:p>
    <w:p w14:paraId="37F80E63" w14:textId="77777777" w:rsidR="00B32AEC" w:rsidRPr="00B32AEC" w:rsidRDefault="00B32AEC" w:rsidP="00B32AEC">
      <w:pPr>
        <w:pStyle w:val="Heading3"/>
        <w:spacing w:before="74"/>
        <w:rPr>
          <w:rFonts w:ascii="Tw Cen MT" w:eastAsia="Tw Cen MT" w:hAnsi="Tw Cen MT" w:cs="Tw Cen MT"/>
          <w:b w:val="0"/>
          <w:bCs w:val="0"/>
          <w:sz w:val="18"/>
          <w:szCs w:val="18"/>
        </w:rPr>
      </w:pPr>
      <w:r w:rsidRPr="00B32AEC">
        <w:rPr>
          <w:rFonts w:ascii="Tw Cen MT" w:eastAsia="Tw Cen MT" w:hAnsi="Tw Cen MT" w:cs="Tw Cen MT"/>
          <w:b w:val="0"/>
          <w:bCs w:val="0"/>
          <w:sz w:val="18"/>
          <w:szCs w:val="18"/>
        </w:rPr>
        <w:t xml:space="preserve">Ever since the approval of the first biosimilar drug in the U.S. in 2015, 31 biosimilars have been approved till date (as of September 2021). While 2019 witnessed a steep surge in the approval rates of biosimilars, the COVID-19 pandemic and the resulting lockdown did slow down the approval rates over the last one year (2020 – 2021). Nevertheless, the U.S. biosimilars market is poised to witness a significant growth of 25% (CAGR) over the next seven years (2021 – 2028) propelled by the patent expiry of key blockbuster drugs, increased cost-saving initiatives and conducive regulatory framework established by the U.S. government, strategic partnerships, and industry consolidation in addition to the rising incidence of chronic diseases and aging baby-boomer population. Both the biotech firms as well as regulatory authorities have emerged resilient and geared well to a post-pandemic world. </w:t>
      </w:r>
    </w:p>
    <w:p w14:paraId="338E5FF1" w14:textId="08F08845" w:rsidR="00AE3E37" w:rsidRDefault="00B32AEC" w:rsidP="00B32AEC">
      <w:pPr>
        <w:pStyle w:val="Heading3"/>
        <w:spacing w:before="74"/>
      </w:pPr>
      <w:r w:rsidRPr="00B32AEC">
        <w:rPr>
          <w:rFonts w:ascii="Tw Cen MT" w:eastAsia="Tw Cen MT" w:hAnsi="Tw Cen MT" w:cs="Tw Cen MT"/>
          <w:b w:val="0"/>
          <w:bCs w:val="0"/>
          <w:sz w:val="18"/>
          <w:szCs w:val="18"/>
        </w:rPr>
        <w:t>This market research service analyses the revenue prospects of the U.S. biosimilars market (in terms of market size, growth rates, YOY revenue forecasts, etc.), patent cliff (biologic drugs due to lose patent protection), key therapeutic areas overview, competitive landscape, key strategic alliances, regulatory framework, pricing and reimbursement policies as well as impact mapping of patients, physicians and payers. Furthermore, strategic recommendations for the success of market participants have also been discussed</w:t>
      </w:r>
      <w:r w:rsidR="00DB2337">
        <w:rPr>
          <w:rFonts w:ascii="Tw Cen MT" w:eastAsia="Tw Cen MT" w:hAnsi="Tw Cen MT" w:cs="Tw Cen MT"/>
          <w:b w:val="0"/>
          <w:bCs w:val="0"/>
          <w:sz w:val="18"/>
          <w:szCs w:val="18"/>
        </w:rPr>
        <w:t>.</w:t>
      </w:r>
      <w:r w:rsidR="00A9710C">
        <w:rPr>
          <w:b w:val="0"/>
        </w:rPr>
        <w:br w:type="column"/>
      </w:r>
    </w:p>
    <w:p w14:paraId="78035D51" w14:textId="17613518" w:rsidR="00AE3E37" w:rsidRDefault="00AE3E37">
      <w:pPr>
        <w:pStyle w:val="BodyText"/>
        <w:spacing w:before="2"/>
        <w:rPr>
          <w:rFonts w:ascii="Arial"/>
          <w:b/>
          <w:sz w:val="16"/>
        </w:rPr>
      </w:pPr>
    </w:p>
    <w:p w14:paraId="341FD22E" w14:textId="43E512AD" w:rsidR="005973B9" w:rsidRDefault="005973B9" w:rsidP="005973B9">
      <w:pPr>
        <w:spacing w:line="204" w:lineRule="exact"/>
        <w:rPr>
          <w:rFonts w:ascii="Arial"/>
          <w:b/>
          <w:sz w:val="20"/>
        </w:rPr>
      </w:pPr>
      <w:r>
        <w:rPr>
          <w:rFonts w:ascii="Arial"/>
          <w:b/>
          <w:color w:val="BF5A14"/>
          <w:sz w:val="20"/>
        </w:rPr>
        <w:br/>
        <w:t xml:space="preserve">Recent </w:t>
      </w:r>
      <w:r w:rsidR="00B32AEC">
        <w:rPr>
          <w:rFonts w:ascii="Arial"/>
          <w:b/>
          <w:color w:val="BF5A14"/>
          <w:sz w:val="20"/>
        </w:rPr>
        <w:t>Conference Presentation</w:t>
      </w:r>
      <w:r>
        <w:rPr>
          <w:rFonts w:ascii="Arial"/>
          <w:b/>
          <w:color w:val="BF5A14"/>
          <w:sz w:val="20"/>
        </w:rPr>
        <w:t xml:space="preserve">s </w:t>
      </w:r>
    </w:p>
    <w:p w14:paraId="43CEFBF6" w14:textId="735AD8A4" w:rsidR="005973B9" w:rsidRDefault="00B32AEC" w:rsidP="005973B9">
      <w:pPr>
        <w:pStyle w:val="ListParagraph"/>
        <w:numPr>
          <w:ilvl w:val="0"/>
          <w:numId w:val="3"/>
        </w:numPr>
        <w:tabs>
          <w:tab w:val="left" w:pos="384"/>
        </w:tabs>
        <w:spacing w:before="103" w:line="216" w:lineRule="exact"/>
        <w:ind w:right="138" w:hanging="283"/>
        <w:rPr>
          <w:sz w:val="18"/>
        </w:rPr>
      </w:pPr>
      <w:r>
        <w:rPr>
          <w:sz w:val="18"/>
        </w:rPr>
        <w:t>U.S. Generics Pharmaceutical – A Deep dive: Keynote presentation at the 2</w:t>
      </w:r>
      <w:r w:rsidRPr="00B32AEC">
        <w:rPr>
          <w:sz w:val="18"/>
          <w:vertAlign w:val="superscript"/>
        </w:rPr>
        <w:t>nd</w:t>
      </w:r>
      <w:r>
        <w:rPr>
          <w:sz w:val="18"/>
        </w:rPr>
        <w:t xml:space="preserve"> United Conference of Generic Medicine, Biosimilars and Vaccines</w:t>
      </w:r>
      <w:r w:rsidR="00C14763">
        <w:rPr>
          <w:sz w:val="18"/>
        </w:rPr>
        <w:t xml:space="preserve"> Webinar</w:t>
      </w:r>
      <w:r>
        <w:rPr>
          <w:sz w:val="18"/>
        </w:rPr>
        <w:t>, November 11, 2021</w:t>
      </w:r>
      <w:r w:rsidR="00C14763">
        <w:rPr>
          <w:sz w:val="18"/>
        </w:rPr>
        <w:t>, USA</w:t>
      </w:r>
    </w:p>
    <w:p w14:paraId="76A4F09E" w14:textId="099924AD" w:rsidR="005973B9" w:rsidRDefault="00B32AEC" w:rsidP="005973B9">
      <w:pPr>
        <w:pStyle w:val="ListParagraph"/>
        <w:numPr>
          <w:ilvl w:val="0"/>
          <w:numId w:val="3"/>
        </w:numPr>
        <w:tabs>
          <w:tab w:val="left" w:pos="384"/>
        </w:tabs>
        <w:spacing w:line="216" w:lineRule="exact"/>
        <w:ind w:right="137" w:hanging="283"/>
        <w:rPr>
          <w:sz w:val="18"/>
        </w:rPr>
      </w:pPr>
      <w:r>
        <w:rPr>
          <w:sz w:val="18"/>
        </w:rPr>
        <w:t xml:space="preserve">Opportunities and Challenges in West Africa’s Healthcare and </w:t>
      </w:r>
      <w:r w:rsidR="00C14763">
        <w:rPr>
          <w:sz w:val="18"/>
        </w:rPr>
        <w:t xml:space="preserve">Pharmaceutical Sector: Keynote presentation at </w:t>
      </w:r>
      <w:proofErr w:type="spellStart"/>
      <w:r w:rsidR="00C14763">
        <w:rPr>
          <w:sz w:val="18"/>
        </w:rPr>
        <w:t>CPhI</w:t>
      </w:r>
      <w:proofErr w:type="spellEnd"/>
      <w:r w:rsidR="00C14763">
        <w:rPr>
          <w:sz w:val="18"/>
        </w:rPr>
        <w:t xml:space="preserve"> Worldwide, October 2014, Paris, France</w:t>
      </w:r>
      <w:r w:rsidR="005973B9">
        <w:rPr>
          <w:sz w:val="18"/>
        </w:rPr>
        <w:t>.</w:t>
      </w:r>
    </w:p>
    <w:p w14:paraId="30AFDEF3" w14:textId="2A635302" w:rsidR="005973B9" w:rsidRDefault="00C14763" w:rsidP="005973B9">
      <w:pPr>
        <w:pStyle w:val="ListParagraph"/>
        <w:numPr>
          <w:ilvl w:val="0"/>
          <w:numId w:val="3"/>
        </w:numPr>
        <w:tabs>
          <w:tab w:val="left" w:pos="384"/>
        </w:tabs>
        <w:spacing w:line="216" w:lineRule="exact"/>
        <w:ind w:right="138" w:hanging="283"/>
        <w:rPr>
          <w:sz w:val="18"/>
        </w:rPr>
      </w:pPr>
      <w:r>
        <w:rPr>
          <w:sz w:val="18"/>
        </w:rPr>
        <w:t xml:space="preserve">Strategic Positioning and Business Potential for Japan and India in the Global Biosimilars Market: </w:t>
      </w:r>
      <w:bookmarkStart w:id="0" w:name="_Hlk88836721"/>
      <w:r w:rsidRPr="00C14763">
        <w:rPr>
          <w:sz w:val="18"/>
        </w:rPr>
        <w:t xml:space="preserve">Keynote presentation at </w:t>
      </w:r>
      <w:proofErr w:type="spellStart"/>
      <w:r w:rsidRPr="00C14763">
        <w:rPr>
          <w:sz w:val="18"/>
        </w:rPr>
        <w:t>CPhI</w:t>
      </w:r>
      <w:proofErr w:type="spellEnd"/>
      <w:r w:rsidRPr="00C14763">
        <w:rPr>
          <w:sz w:val="18"/>
        </w:rPr>
        <w:t xml:space="preserve"> </w:t>
      </w:r>
      <w:r>
        <w:rPr>
          <w:sz w:val="18"/>
        </w:rPr>
        <w:t>Japan</w:t>
      </w:r>
      <w:r w:rsidRPr="00C14763">
        <w:rPr>
          <w:sz w:val="18"/>
        </w:rPr>
        <w:t xml:space="preserve">, </w:t>
      </w:r>
      <w:r>
        <w:rPr>
          <w:sz w:val="18"/>
        </w:rPr>
        <w:t>April</w:t>
      </w:r>
      <w:r w:rsidRPr="00C14763">
        <w:rPr>
          <w:sz w:val="18"/>
        </w:rPr>
        <w:t xml:space="preserve"> 2014, </w:t>
      </w:r>
      <w:r>
        <w:rPr>
          <w:sz w:val="18"/>
        </w:rPr>
        <w:t>Tokyo, Japan</w:t>
      </w:r>
      <w:bookmarkEnd w:id="0"/>
    </w:p>
    <w:p w14:paraId="7F608EB0" w14:textId="76EAFCAC" w:rsidR="005973B9" w:rsidRDefault="00C14763" w:rsidP="00C14763">
      <w:pPr>
        <w:pStyle w:val="ListParagraph"/>
        <w:numPr>
          <w:ilvl w:val="0"/>
          <w:numId w:val="3"/>
        </w:numPr>
        <w:tabs>
          <w:tab w:val="left" w:pos="384"/>
        </w:tabs>
        <w:spacing w:before="92" w:line="218" w:lineRule="exact"/>
        <w:ind w:hanging="283"/>
      </w:pPr>
      <w:r>
        <w:rPr>
          <w:sz w:val="18"/>
        </w:rPr>
        <w:t xml:space="preserve">Targeted Drug Delivery – Technology and Applications: </w:t>
      </w:r>
      <w:r w:rsidRPr="00C14763">
        <w:rPr>
          <w:sz w:val="18"/>
        </w:rPr>
        <w:t xml:space="preserve">Keynote presentation at </w:t>
      </w:r>
      <w:r>
        <w:rPr>
          <w:sz w:val="18"/>
        </w:rPr>
        <w:t>Novel Drug Delivery System and Clinical Trial Management</w:t>
      </w:r>
      <w:r w:rsidRPr="00C14763">
        <w:rPr>
          <w:sz w:val="18"/>
        </w:rPr>
        <w:t xml:space="preserve">, </w:t>
      </w:r>
      <w:r>
        <w:rPr>
          <w:sz w:val="18"/>
        </w:rPr>
        <w:t>November</w:t>
      </w:r>
      <w:r w:rsidRPr="00C14763">
        <w:rPr>
          <w:sz w:val="18"/>
        </w:rPr>
        <w:t xml:space="preserve"> 201</w:t>
      </w:r>
      <w:r>
        <w:rPr>
          <w:sz w:val="18"/>
        </w:rPr>
        <w:t>3</w:t>
      </w:r>
      <w:r w:rsidRPr="00C14763">
        <w:rPr>
          <w:sz w:val="18"/>
        </w:rPr>
        <w:t xml:space="preserve">, </w:t>
      </w:r>
      <w:r>
        <w:rPr>
          <w:sz w:val="18"/>
        </w:rPr>
        <w:t>Shanghai, China</w:t>
      </w:r>
    </w:p>
    <w:p w14:paraId="364EED26" w14:textId="0A8E36C0"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93038F">
        <w:rPr>
          <w:rFonts w:ascii="Calibri" w:hAnsi="Calibri"/>
        </w:rPr>
        <w:t xml:space="preserve"> </w:t>
      </w:r>
      <w:r w:rsidR="00C14763">
        <w:rPr>
          <w:rFonts w:ascii="Calibri" w:hAnsi="Calibri"/>
        </w:rPr>
        <w:t xml:space="preserve">Global Biopharmaceutical Contract Manufacturing Market: </w:t>
      </w:r>
      <w:r w:rsidR="00C14763" w:rsidRPr="00C14763">
        <w:rPr>
          <w:rFonts w:ascii="Calibri" w:hAnsi="Calibri"/>
        </w:rPr>
        <w:t xml:space="preserve">Keynote presentation at </w:t>
      </w:r>
      <w:proofErr w:type="spellStart"/>
      <w:r w:rsidR="00C14763" w:rsidRPr="00C14763">
        <w:rPr>
          <w:rFonts w:ascii="Calibri" w:hAnsi="Calibri"/>
        </w:rPr>
        <w:t>CPhI</w:t>
      </w:r>
      <w:proofErr w:type="spellEnd"/>
      <w:r w:rsidR="00C14763" w:rsidRPr="00C14763">
        <w:rPr>
          <w:rFonts w:ascii="Calibri" w:hAnsi="Calibri"/>
        </w:rPr>
        <w:t xml:space="preserve"> </w:t>
      </w:r>
      <w:r w:rsidR="00C14763">
        <w:rPr>
          <w:rFonts w:ascii="Calibri" w:hAnsi="Calibri"/>
        </w:rPr>
        <w:t>Worldwide – In Focus Session</w:t>
      </w:r>
      <w:r w:rsidR="00C14763" w:rsidRPr="00C14763">
        <w:rPr>
          <w:rFonts w:ascii="Calibri" w:hAnsi="Calibri"/>
        </w:rPr>
        <w:t xml:space="preserve">, </w:t>
      </w:r>
      <w:r w:rsidR="00C14763">
        <w:rPr>
          <w:rFonts w:ascii="Calibri" w:hAnsi="Calibri"/>
        </w:rPr>
        <w:t>October</w:t>
      </w:r>
      <w:r w:rsidR="00C14763" w:rsidRPr="00C14763">
        <w:rPr>
          <w:rFonts w:ascii="Calibri" w:hAnsi="Calibri"/>
        </w:rPr>
        <w:t xml:space="preserve"> 201</w:t>
      </w:r>
      <w:r w:rsidR="00C14763">
        <w:rPr>
          <w:rFonts w:ascii="Calibri" w:hAnsi="Calibri"/>
        </w:rPr>
        <w:t>3</w:t>
      </w:r>
      <w:r w:rsidR="00C14763" w:rsidRPr="00C14763">
        <w:rPr>
          <w:rFonts w:ascii="Calibri" w:hAnsi="Calibri"/>
        </w:rPr>
        <w:t xml:space="preserve">, </w:t>
      </w:r>
      <w:r w:rsidR="00C14763">
        <w:rPr>
          <w:rFonts w:ascii="Calibri" w:hAnsi="Calibri"/>
        </w:rPr>
        <w:t>Frankfurt, Germany</w:t>
      </w:r>
    </w:p>
    <w:p w14:paraId="0CECA459" w14:textId="77777777" w:rsidR="00AE3E37" w:rsidRPr="008756E6" w:rsidRDefault="00AE3E37" w:rsidP="008756E6">
      <w:pPr>
        <w:tabs>
          <w:tab w:val="left" w:pos="384"/>
        </w:tabs>
        <w:ind w:right="117"/>
      </w:pPr>
    </w:p>
    <w:p w14:paraId="6D69A021"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830FBDE" w14:textId="77777777" w:rsidR="00AE3E37" w:rsidRDefault="00AE3E37">
      <w:pPr>
        <w:pStyle w:val="BodyText"/>
        <w:rPr>
          <w:rFonts w:ascii="Calibri"/>
          <w:sz w:val="20"/>
        </w:rPr>
      </w:pPr>
    </w:p>
    <w:p w14:paraId="5A3B1A16"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5F6B6AB" wp14:editId="14CABF8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787E23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2AB5BD1" w14:textId="749215B1" w:rsidR="00602466" w:rsidRDefault="008756E6" w:rsidP="00404E5B">
      <w:pPr>
        <w:spacing w:before="92"/>
        <w:ind w:right="4234"/>
        <w:rPr>
          <w:noProof/>
        </w:rPr>
      </w:pPr>
      <w:r>
        <w:rPr>
          <w:noProof/>
        </w:rPr>
        <w:t xml:space="preserve">              </w:t>
      </w:r>
    </w:p>
    <w:p w14:paraId="223C7FF0" w14:textId="7D33801D" w:rsidR="00602466" w:rsidRDefault="00602466" w:rsidP="00404E5B">
      <w:pPr>
        <w:spacing w:before="92"/>
        <w:ind w:right="4234"/>
        <w:rPr>
          <w:noProof/>
        </w:rPr>
      </w:pPr>
      <w:r>
        <w:rPr>
          <w:noProof/>
        </w:rPr>
        <w:t xml:space="preserve">   </w:t>
      </w:r>
      <w:r>
        <w:rPr>
          <w:noProof/>
        </w:rPr>
        <w:drawing>
          <wp:inline distT="0" distB="0" distL="0" distR="0" wp14:anchorId="4AFE6D55" wp14:editId="3323633C">
            <wp:extent cx="1543050" cy="1492250"/>
            <wp:effectExtent l="0" t="0" r="0" b="0"/>
            <wp:docPr id="3" name="Picture 3" descr="A picture containing person, smiling, suit, po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person, smiling, suit, posing&#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3050" cy="1492250"/>
                    </a:xfrm>
                    <a:prstGeom prst="rect">
                      <a:avLst/>
                    </a:prstGeom>
                    <a:noFill/>
                    <a:ln>
                      <a:noFill/>
                    </a:ln>
                  </pic:spPr>
                </pic:pic>
              </a:graphicData>
            </a:graphic>
          </wp:inline>
        </w:drawing>
      </w:r>
    </w:p>
    <w:p w14:paraId="0346EDEE" w14:textId="77777777" w:rsidR="00602466" w:rsidRDefault="00602466" w:rsidP="00404E5B">
      <w:pPr>
        <w:spacing w:before="92"/>
        <w:ind w:right="4234"/>
        <w:rPr>
          <w:noProof/>
        </w:rPr>
      </w:pPr>
    </w:p>
    <w:p w14:paraId="28649ECD" w14:textId="6DEE9334" w:rsidR="00AE3E37" w:rsidRDefault="0060246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372CEC06" w14:textId="64820296" w:rsidR="00AE3E37" w:rsidRDefault="00602466">
      <w:pPr>
        <w:spacing w:before="41" w:line="154" w:lineRule="exact"/>
        <w:ind w:left="213" w:right="231"/>
        <w:jc w:val="both"/>
        <w:rPr>
          <w:rFonts w:ascii="Arial"/>
          <w:sz w:val="14"/>
        </w:rPr>
      </w:pPr>
      <w:r>
        <w:rPr>
          <w:rFonts w:ascii="Arial"/>
          <w:sz w:val="14"/>
        </w:rPr>
        <w:t>Aiswariya Chidambaram is a management consultant project leader with over 10 years of experience in the Life Sciences (Pharmaceutical &amp; Biotechnology) sector</w:t>
      </w:r>
      <w:r w:rsidR="00A9710C">
        <w:rPr>
          <w:rFonts w:ascii="Arial"/>
          <w:sz w:val="14"/>
        </w:rPr>
        <w:t>.</w:t>
      </w:r>
      <w:r>
        <w:rPr>
          <w:rFonts w:ascii="Arial"/>
          <w:sz w:val="14"/>
        </w:rPr>
        <w:t xml:space="preserve"> To her credits, Aiswariya has:</w:t>
      </w:r>
    </w:p>
    <w:p w14:paraId="5E7DE1B9" w14:textId="5ED6D27A" w:rsidR="00602466" w:rsidRPr="00602466" w:rsidRDefault="00602466" w:rsidP="00602466">
      <w:pPr>
        <w:spacing w:before="41" w:line="154" w:lineRule="exact"/>
        <w:ind w:left="213" w:right="231"/>
        <w:jc w:val="both"/>
        <w:rPr>
          <w:rFonts w:ascii="Arial"/>
          <w:sz w:val="14"/>
        </w:rPr>
      </w:pPr>
      <w:r>
        <w:rPr>
          <w:rFonts w:ascii="Arial"/>
          <w:sz w:val="14"/>
        </w:rPr>
        <w:t xml:space="preserve">- </w:t>
      </w:r>
      <w:r w:rsidRPr="00602466">
        <w:rPr>
          <w:rFonts w:ascii="Arial"/>
          <w:sz w:val="14"/>
        </w:rPr>
        <w:t>Consulted and provided strategic insights to several leading multinational pharmaceutical and biotech firms across the globe</w:t>
      </w:r>
    </w:p>
    <w:p w14:paraId="1E495CB7" w14:textId="77777777" w:rsidR="00602466" w:rsidRPr="00602466" w:rsidRDefault="00602466" w:rsidP="00602466">
      <w:pPr>
        <w:spacing w:before="41" w:line="154" w:lineRule="exact"/>
        <w:ind w:left="213" w:right="231"/>
        <w:jc w:val="both"/>
        <w:rPr>
          <w:rFonts w:ascii="Arial"/>
          <w:sz w:val="14"/>
        </w:rPr>
      </w:pPr>
      <w:r w:rsidRPr="00602466">
        <w:rPr>
          <w:rFonts w:ascii="Arial"/>
          <w:sz w:val="14"/>
        </w:rPr>
        <w:t>- Authored over fifteen research reports on key therapeutic and service areas for the global pharmaceutical and biotechnology markets</w:t>
      </w:r>
    </w:p>
    <w:p w14:paraId="7F768F2D" w14:textId="77777777" w:rsidR="00602466" w:rsidRPr="00602466" w:rsidRDefault="00602466" w:rsidP="00602466">
      <w:pPr>
        <w:spacing w:before="41" w:line="154" w:lineRule="exact"/>
        <w:ind w:left="213" w:right="231"/>
        <w:jc w:val="both"/>
        <w:rPr>
          <w:rFonts w:ascii="Arial"/>
          <w:sz w:val="14"/>
        </w:rPr>
      </w:pPr>
      <w:r w:rsidRPr="00602466">
        <w:rPr>
          <w:rFonts w:ascii="Arial"/>
          <w:sz w:val="14"/>
        </w:rPr>
        <w:t>- Authored over thirty publications including whitepapers, ad-hoc articles and expert interviews in reputed magazines and journals.</w:t>
      </w:r>
    </w:p>
    <w:p w14:paraId="025FA21E" w14:textId="0FD09ECC" w:rsidR="00602466" w:rsidRPr="00602466" w:rsidRDefault="00602466" w:rsidP="00602466">
      <w:pPr>
        <w:spacing w:before="41" w:line="154" w:lineRule="exact"/>
        <w:ind w:left="213" w:right="231"/>
        <w:jc w:val="both"/>
        <w:rPr>
          <w:rFonts w:ascii="Arial"/>
          <w:sz w:val="14"/>
        </w:rPr>
      </w:pPr>
      <w:r w:rsidRPr="00602466">
        <w:rPr>
          <w:rFonts w:ascii="Arial"/>
          <w:sz w:val="14"/>
        </w:rPr>
        <w:t>- Been a plenary/key-note speaker at reputed industry conferences</w:t>
      </w:r>
      <w:r>
        <w:rPr>
          <w:rFonts w:ascii="Arial"/>
          <w:sz w:val="14"/>
        </w:rPr>
        <w:t xml:space="preserve"> including </w:t>
      </w:r>
      <w:proofErr w:type="spellStart"/>
      <w:r>
        <w:rPr>
          <w:rFonts w:ascii="Arial"/>
          <w:sz w:val="14"/>
        </w:rPr>
        <w:t>CPhI</w:t>
      </w:r>
      <w:proofErr w:type="spellEnd"/>
      <w:r>
        <w:rPr>
          <w:rFonts w:ascii="Arial"/>
          <w:sz w:val="14"/>
        </w:rPr>
        <w:t>, Pharma Tech, United Pharma, among others</w:t>
      </w:r>
    </w:p>
    <w:p w14:paraId="6AAA0F27" w14:textId="29DB1A9D" w:rsidR="00602466" w:rsidRDefault="00602466" w:rsidP="00602466">
      <w:pPr>
        <w:spacing w:before="41" w:line="154" w:lineRule="exact"/>
        <w:ind w:left="213" w:right="231"/>
        <w:jc w:val="both"/>
        <w:rPr>
          <w:rFonts w:ascii="Arial"/>
          <w:sz w:val="14"/>
        </w:rPr>
      </w:pPr>
      <w:r w:rsidRPr="00602466">
        <w:rPr>
          <w:rFonts w:ascii="Arial"/>
          <w:sz w:val="14"/>
        </w:rPr>
        <w:t>- Identified and acknowledged companies demonstrating excellence in specific market/product segments and technologies as part of the industry best practices research.</w:t>
      </w:r>
    </w:p>
    <w:p w14:paraId="51677BF1" w14:textId="1A471F73" w:rsidR="00AE3E37" w:rsidRDefault="00A9710C">
      <w:pPr>
        <w:spacing w:before="62"/>
        <w:ind w:left="4217" w:right="4235"/>
        <w:jc w:val="center"/>
        <w:rPr>
          <w:rFonts w:ascii="Arial"/>
          <w:sz w:val="14"/>
        </w:rPr>
      </w:pPr>
      <w:r>
        <w:rPr>
          <w:rFonts w:ascii="Arial"/>
          <w:sz w:val="14"/>
        </w:rPr>
        <w:t xml:space="preserve">Email: </w:t>
      </w:r>
      <w:hyperlink r:id="rId9" w:history="1">
        <w:r w:rsidR="00602466" w:rsidRPr="008A7C4D">
          <w:rPr>
            <w:rStyle w:val="Hyperlink"/>
            <w:rFonts w:ascii="Arial"/>
            <w:sz w:val="14"/>
          </w:rPr>
          <w:t>caishwarya2005@gmail.com</w:t>
        </w:r>
      </w:hyperlink>
    </w:p>
    <w:p w14:paraId="013D2EBB" w14:textId="388E1F87" w:rsidR="00AE3E37" w:rsidRPr="00602466" w:rsidRDefault="00292ED9" w:rsidP="00602466">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D4221B7" wp14:editId="6D1453B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06FD5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3367495" w14:textId="77777777" w:rsidR="00EA7D51" w:rsidRDefault="00EA7D51" w:rsidP="000534A1">
      <w:pPr>
        <w:spacing w:before="39"/>
        <w:ind w:left="100"/>
        <w:rPr>
          <w:rFonts w:ascii="Minion Pro"/>
          <w:b/>
          <w:sz w:val="20"/>
        </w:rPr>
      </w:pPr>
    </w:p>
    <w:p w14:paraId="7B2337E4" w14:textId="77777777" w:rsidR="00EA7D51" w:rsidRDefault="00EA7D51" w:rsidP="000534A1">
      <w:pPr>
        <w:spacing w:before="39"/>
        <w:ind w:left="100"/>
        <w:rPr>
          <w:rFonts w:ascii="Minion Pro"/>
          <w:b/>
          <w:sz w:val="20"/>
        </w:rPr>
      </w:pPr>
    </w:p>
    <w:p w14:paraId="11242147" w14:textId="197C2EC3"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602466" w:rsidRPr="00602466">
        <w:rPr>
          <w:b/>
          <w:bCs/>
          <w:sz w:val="20"/>
          <w:szCs w:val="20"/>
          <w:lang w:val="en-NZ"/>
        </w:rPr>
        <w:t>Aiswariya Chidambaram</w:t>
      </w:r>
      <w:r w:rsidRPr="00F35A62">
        <w:rPr>
          <w:sz w:val="20"/>
          <w:szCs w:val="20"/>
          <w:lang w:val="en-NZ"/>
        </w:rPr>
        <w:br/>
        <w:t>Contact number:</w:t>
      </w:r>
      <w:r w:rsidR="00602466">
        <w:rPr>
          <w:sz w:val="20"/>
          <w:szCs w:val="20"/>
          <w:lang w:val="en-NZ"/>
        </w:rPr>
        <w:t xml:space="preserve"> </w:t>
      </w:r>
      <w:r w:rsidR="00602466" w:rsidRPr="00B80F0C">
        <w:rPr>
          <w:b/>
          <w:bCs/>
          <w:sz w:val="20"/>
          <w:szCs w:val="20"/>
          <w:lang w:val="en-NZ"/>
        </w:rPr>
        <w:t>214-499-3482</w:t>
      </w:r>
      <w:r w:rsidRPr="00F35A62">
        <w:rPr>
          <w:sz w:val="20"/>
          <w:szCs w:val="20"/>
          <w:lang w:val="en-NZ"/>
        </w:rPr>
        <w:br/>
        <w:t>Twitter account:</w:t>
      </w:r>
      <w:r w:rsidR="00602466">
        <w:rPr>
          <w:sz w:val="20"/>
          <w:szCs w:val="20"/>
          <w:lang w:val="en-NZ"/>
        </w:rPr>
        <w:t xml:space="preserve"> </w:t>
      </w:r>
      <w:r w:rsidR="00602466" w:rsidRPr="00B80F0C">
        <w:rPr>
          <w:b/>
          <w:bCs/>
          <w:sz w:val="20"/>
          <w:szCs w:val="20"/>
          <w:lang w:val="en-NZ"/>
        </w:rPr>
        <w:t>@aischid</w:t>
      </w:r>
      <w:r w:rsidRPr="00F35A62">
        <w:rPr>
          <w:sz w:val="20"/>
          <w:szCs w:val="20"/>
          <w:lang w:val="en-NZ"/>
        </w:rPr>
        <w:br/>
        <w:t>Linked In account:</w:t>
      </w:r>
      <w:r w:rsidR="00602466">
        <w:rPr>
          <w:sz w:val="20"/>
          <w:szCs w:val="20"/>
          <w:lang w:val="en-NZ"/>
        </w:rPr>
        <w:t xml:space="preserve"> </w:t>
      </w:r>
      <w:hyperlink r:id="rId10" w:history="1">
        <w:r w:rsidR="00602466" w:rsidRPr="008A7C4D">
          <w:rPr>
            <w:rStyle w:val="Hyperlink"/>
            <w:sz w:val="20"/>
            <w:szCs w:val="20"/>
            <w:lang w:val="en-NZ"/>
          </w:rPr>
          <w:t>https://www.linkedin.com/in/aiswariya-chidambaram-mhsm-pmp-08655233/</w:t>
        </w:r>
      </w:hyperlink>
      <w:r w:rsidR="00602466">
        <w:rPr>
          <w:sz w:val="20"/>
          <w:szCs w:val="20"/>
          <w:lang w:val="en-NZ"/>
        </w:rPr>
        <w:t xml:space="preserve"> </w:t>
      </w:r>
    </w:p>
    <w:p w14:paraId="19DCB131" w14:textId="66465581" w:rsidR="002047EC" w:rsidRDefault="00EA7D51" w:rsidP="002047EC">
      <w:pPr>
        <w:autoSpaceDE w:val="0"/>
        <w:autoSpaceDN w:val="0"/>
        <w:adjustRightInd w:val="0"/>
        <w:rPr>
          <w:sz w:val="20"/>
          <w:szCs w:val="20"/>
          <w:lang w:val="en-NZ"/>
        </w:rPr>
      </w:pPr>
      <w:r w:rsidRPr="00F35A62">
        <w:rPr>
          <w:sz w:val="20"/>
          <w:szCs w:val="20"/>
          <w:lang w:val="en-NZ"/>
        </w:rPr>
        <w:t>Session name/ number:</w:t>
      </w:r>
      <w:r w:rsidRPr="00B80F0C">
        <w:rPr>
          <w:b/>
          <w:bCs/>
          <w:sz w:val="20"/>
          <w:szCs w:val="20"/>
          <w:lang w:val="en-NZ"/>
        </w:rPr>
        <w:t xml:space="preserve"> </w:t>
      </w:r>
      <w:r w:rsidR="00B80F0C" w:rsidRPr="00B80F0C">
        <w:rPr>
          <w:b/>
          <w:bCs/>
          <w:sz w:val="20"/>
          <w:szCs w:val="20"/>
          <w:lang w:val="en-NZ"/>
        </w:rPr>
        <w:t>Biosimilars</w:t>
      </w:r>
      <w:r w:rsidRPr="00F35A62">
        <w:rPr>
          <w:sz w:val="20"/>
          <w:szCs w:val="20"/>
          <w:lang w:val="en-NZ"/>
        </w:rPr>
        <w:br/>
        <w:t xml:space="preserve">Category: </w:t>
      </w:r>
      <w:r w:rsidRPr="00B80F0C">
        <w:rPr>
          <w:b/>
          <w:bCs/>
          <w:sz w:val="20"/>
          <w:szCs w:val="20"/>
          <w:lang w:val="en-NZ"/>
        </w:rPr>
        <w:t>Oral presen</w:t>
      </w:r>
      <w:r w:rsidR="00602466" w:rsidRPr="00B80F0C">
        <w:rPr>
          <w:b/>
          <w:bCs/>
          <w:sz w:val="20"/>
          <w:szCs w:val="20"/>
          <w:lang w:val="en-NZ"/>
        </w:rPr>
        <w:t>tation</w:t>
      </w:r>
    </w:p>
    <w:p w14:paraId="28CC7D09" w14:textId="42866FA8" w:rsidR="002047EC" w:rsidRPr="002047EC" w:rsidRDefault="002047EC" w:rsidP="002047EC">
      <w:pPr>
        <w:rPr>
          <w:sz w:val="20"/>
          <w:szCs w:val="20"/>
          <w:lang w:val="en-NZ"/>
        </w:rPr>
        <w:sectPr w:rsidR="002047EC" w:rsidRPr="002047EC" w:rsidSect="008E5477">
          <w:type w:val="continuous"/>
          <w:pgSz w:w="11910" w:h="16840"/>
          <w:pgMar w:top="995" w:right="600" w:bottom="840" w:left="620" w:header="720" w:footer="720" w:gutter="0"/>
          <w:cols w:space="720"/>
        </w:sectPr>
      </w:pPr>
    </w:p>
    <w:p w14:paraId="218EAA54" w14:textId="77777777" w:rsidR="00602466" w:rsidRDefault="00602466" w:rsidP="00475D20">
      <w:pPr>
        <w:jc w:val="both"/>
        <w:rPr>
          <w:rFonts w:ascii="Minion Pro"/>
          <w:sz w:val="26"/>
        </w:rPr>
      </w:pPr>
    </w:p>
    <w:sectPr w:rsidR="00602466"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678E5" w14:textId="77777777" w:rsidR="00CD19EB" w:rsidRDefault="00CD19EB">
      <w:r>
        <w:separator/>
      </w:r>
    </w:p>
  </w:endnote>
  <w:endnote w:type="continuationSeparator" w:id="0">
    <w:p w14:paraId="1A3B6EED" w14:textId="77777777" w:rsidR="00CD19EB" w:rsidRDefault="00CD1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90817"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13945EA" wp14:editId="1D3BF0F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16173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88554D9" w14:textId="39BA5BBE"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3945EA"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7616173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88554D9" w14:textId="39BA5BBE"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F98B842" wp14:editId="40E1851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0C295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49BA27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98B842"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430C295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49BA27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6BC4170" wp14:editId="1F273D5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DC63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539E3E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C4170"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44CDC63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539E3E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FCBAB" w14:textId="77777777" w:rsidR="00CD19EB" w:rsidRDefault="00CD19EB">
      <w:r>
        <w:separator/>
      </w:r>
    </w:p>
  </w:footnote>
  <w:footnote w:type="continuationSeparator" w:id="0">
    <w:p w14:paraId="095585AE" w14:textId="77777777" w:rsidR="00CD19EB" w:rsidRDefault="00CD19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2047EC"/>
    <w:rsid w:val="00260F0F"/>
    <w:rsid w:val="00292ED9"/>
    <w:rsid w:val="00351D9B"/>
    <w:rsid w:val="00380299"/>
    <w:rsid w:val="00403A4B"/>
    <w:rsid w:val="00404E5B"/>
    <w:rsid w:val="00414F7B"/>
    <w:rsid w:val="004355DC"/>
    <w:rsid w:val="004749B4"/>
    <w:rsid w:val="00475D20"/>
    <w:rsid w:val="00494130"/>
    <w:rsid w:val="004F3523"/>
    <w:rsid w:val="00590D60"/>
    <w:rsid w:val="005973B9"/>
    <w:rsid w:val="005B3A56"/>
    <w:rsid w:val="00602466"/>
    <w:rsid w:val="006060CE"/>
    <w:rsid w:val="0061505C"/>
    <w:rsid w:val="0063497F"/>
    <w:rsid w:val="00714354"/>
    <w:rsid w:val="00873DF0"/>
    <w:rsid w:val="008756E6"/>
    <w:rsid w:val="00897EC5"/>
    <w:rsid w:val="008A0763"/>
    <w:rsid w:val="008E5477"/>
    <w:rsid w:val="0093038F"/>
    <w:rsid w:val="009B2D44"/>
    <w:rsid w:val="00A07E82"/>
    <w:rsid w:val="00A52075"/>
    <w:rsid w:val="00A9710C"/>
    <w:rsid w:val="00AE3E37"/>
    <w:rsid w:val="00B21A57"/>
    <w:rsid w:val="00B32AEC"/>
    <w:rsid w:val="00B80F0C"/>
    <w:rsid w:val="00BE6743"/>
    <w:rsid w:val="00C14763"/>
    <w:rsid w:val="00C33602"/>
    <w:rsid w:val="00C56C74"/>
    <w:rsid w:val="00CD19EB"/>
    <w:rsid w:val="00CD6F55"/>
    <w:rsid w:val="00DB2337"/>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D72FC"/>
  <w15:docId w15:val="{6BD0CCF0-095E-4BE0-8EB9-4A819DDC4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6024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linkedin.com/in/aiswariya-chidambaram-mhsm-pmp-08655233/" TargetMode="External"/><Relationship Id="rId4" Type="http://schemas.openxmlformats.org/officeDocument/2006/relationships/webSettings" Target="webSettings.xml"/><Relationship Id="rId9" Type="http://schemas.openxmlformats.org/officeDocument/2006/relationships/hyperlink" Target="mailto:caishwarya200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561</Words>
  <Characters>3200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Aiswariya Chidambaram</cp:lastModifiedBy>
  <cp:revision>6</cp:revision>
  <dcterms:created xsi:type="dcterms:W3CDTF">2021-11-26T21:43:00Z</dcterms:created>
  <dcterms:modified xsi:type="dcterms:W3CDTF">2021-11-26T21:49:00Z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