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E00" w:rsidRPr="00FC2E00" w:rsidRDefault="00FC2E00" w:rsidP="00FC2E00">
      <w:pPr>
        <w:shd w:val="clear" w:color="auto" w:fill="F5F1F0"/>
        <w:spacing w:after="104" w:line="240" w:lineRule="auto"/>
        <w:jc w:val="center"/>
        <w:rPr>
          <w:rFonts w:ascii="Times New Roman" w:eastAsia="Times New Roman" w:hAnsi="Times New Roman" w:cs="Times New Roman"/>
          <w:color w:val="333333"/>
          <w:lang w:eastAsia="en-GB"/>
        </w:rPr>
      </w:pPr>
      <w:r w:rsidRPr="00FC2E00">
        <w:rPr>
          <w:rFonts w:ascii="Times New Roman" w:eastAsia="Times New Roman" w:hAnsi="Times New Roman" w:cs="Times New Roman"/>
          <w:color w:val="333333"/>
          <w:lang w:eastAsia="en-GB"/>
        </w:rPr>
        <w:t>8</w:t>
      </w:r>
      <w:r w:rsidRPr="00FC2E00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en-GB"/>
        </w:rPr>
        <w:t>th</w:t>
      </w:r>
      <w:r w:rsidRPr="00FC2E00">
        <w:rPr>
          <w:rFonts w:ascii="Times New Roman" w:eastAsia="Times New Roman" w:hAnsi="Times New Roman" w:cs="Times New Roman"/>
          <w:color w:val="333333"/>
          <w:lang w:eastAsia="en-GB"/>
        </w:rPr>
        <w:t> World Congress on</w:t>
      </w:r>
    </w:p>
    <w:p w:rsidR="00FC2E00" w:rsidRPr="00FC2E00" w:rsidRDefault="00FC2E00" w:rsidP="00FC2E00">
      <w:pPr>
        <w:shd w:val="clear" w:color="auto" w:fill="F5F1F0"/>
        <w:spacing w:after="104" w:line="240" w:lineRule="auto"/>
        <w:jc w:val="center"/>
        <w:outlineLvl w:val="0"/>
        <w:rPr>
          <w:rFonts w:ascii="Arial" w:eastAsia="Times New Roman" w:hAnsi="Arial" w:cs="Arial"/>
          <w:color w:val="01AAC7"/>
          <w:kern w:val="36"/>
          <w:sz w:val="42"/>
          <w:szCs w:val="42"/>
          <w:lang w:eastAsia="en-GB"/>
        </w:rPr>
      </w:pPr>
      <w:r w:rsidRPr="00FC2E00">
        <w:rPr>
          <w:rFonts w:ascii="Arial" w:eastAsia="Times New Roman" w:hAnsi="Arial" w:cs="Arial"/>
          <w:color w:val="01AAC7"/>
          <w:kern w:val="36"/>
          <w:sz w:val="42"/>
          <w:szCs w:val="42"/>
          <w:lang w:eastAsia="en-GB"/>
        </w:rPr>
        <w:t>Biopolymers</w:t>
      </w:r>
    </w:p>
    <w:p w:rsidR="00FC2E00" w:rsidRPr="00FC2E00" w:rsidRDefault="00FC2E00" w:rsidP="00FC2E00">
      <w:pPr>
        <w:shd w:val="clear" w:color="auto" w:fill="F5F1F0"/>
        <w:spacing w:before="104" w:after="104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19"/>
          <w:szCs w:val="19"/>
          <w:lang w:eastAsia="en-GB"/>
        </w:rPr>
      </w:pPr>
      <w:r w:rsidRPr="00FC2E00">
        <w:rPr>
          <w:rFonts w:ascii="Times New Roman" w:eastAsia="Times New Roman" w:hAnsi="Times New Roman" w:cs="Times New Roman"/>
          <w:color w:val="333333"/>
          <w:sz w:val="19"/>
          <w:szCs w:val="19"/>
          <w:lang w:eastAsia="en-GB"/>
        </w:rPr>
        <w:t>June 28-30, 2018 Berlin, Germany</w:t>
      </w:r>
    </w:p>
    <w:p w:rsidR="00E01ED4" w:rsidRDefault="00E01ED4" w:rsidP="00FC2E00">
      <w:pPr>
        <w:jc w:val="both"/>
        <w:rPr>
          <w:rFonts w:ascii="Arial" w:hAnsi="Arial" w:cs="Arial"/>
          <w:color w:val="505050"/>
          <w:sz w:val="36"/>
          <w:szCs w:val="36"/>
        </w:rPr>
      </w:pPr>
    </w:p>
    <w:p w:rsidR="00FC2E00" w:rsidRPr="00B83793" w:rsidRDefault="00B83793" w:rsidP="00FC2E00">
      <w:pPr>
        <w:jc w:val="both"/>
        <w:rPr>
          <w:rFonts w:ascii="Arial" w:hAnsi="Arial" w:cs="Arial"/>
          <w:color w:val="505050"/>
          <w:sz w:val="36"/>
          <w:szCs w:val="36"/>
        </w:rPr>
      </w:pPr>
      <w:r w:rsidRPr="00B83793">
        <w:rPr>
          <w:rFonts w:ascii="Arial" w:hAnsi="Arial" w:cs="Arial"/>
          <w:color w:val="505050"/>
          <w:sz w:val="36"/>
          <w:szCs w:val="36"/>
        </w:rPr>
        <w:t>Biopol</w:t>
      </w:r>
      <w:r>
        <w:rPr>
          <w:rFonts w:ascii="Arial" w:hAnsi="Arial" w:cs="Arial"/>
          <w:color w:val="505050"/>
          <w:sz w:val="36"/>
          <w:szCs w:val="36"/>
        </w:rPr>
        <w:t>ymers in the form of polyesters and t</w:t>
      </w:r>
      <w:r w:rsidRPr="00B83793">
        <w:rPr>
          <w:rFonts w:ascii="Arial" w:hAnsi="Arial" w:cs="Arial"/>
          <w:color w:val="505050"/>
          <w:sz w:val="36"/>
          <w:szCs w:val="36"/>
        </w:rPr>
        <w:t>he polymerization reaction.</w:t>
      </w:r>
    </w:p>
    <w:p w:rsidR="00FC2E00" w:rsidRDefault="00FC2E00" w:rsidP="00FC2E00">
      <w:pPr>
        <w:jc w:val="both"/>
        <w:rPr>
          <w:rFonts w:ascii="Arial" w:hAnsi="Arial" w:cs="Arial"/>
          <w:color w:val="505050"/>
          <w:sz w:val="27"/>
          <w:szCs w:val="27"/>
        </w:rPr>
      </w:pPr>
      <w:proofErr w:type="spellStart"/>
      <w:r>
        <w:rPr>
          <w:rFonts w:ascii="Arial" w:hAnsi="Arial" w:cs="Arial"/>
          <w:color w:val="505050"/>
          <w:sz w:val="27"/>
          <w:szCs w:val="27"/>
        </w:rPr>
        <w:t>Dimitrios</w:t>
      </w:r>
      <w:proofErr w:type="spellEnd"/>
      <w:r>
        <w:rPr>
          <w:rFonts w:ascii="Arial" w:hAnsi="Arial" w:cs="Arial"/>
          <w:color w:val="50505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505050"/>
          <w:sz w:val="27"/>
          <w:szCs w:val="27"/>
        </w:rPr>
        <w:t>Samios</w:t>
      </w:r>
      <w:proofErr w:type="spellEnd"/>
    </w:p>
    <w:p w:rsidR="00FC2E00" w:rsidRDefault="00FC2E00" w:rsidP="00FC2E00">
      <w:pPr>
        <w:jc w:val="both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color w:val="505050"/>
          <w:sz w:val="27"/>
          <w:szCs w:val="27"/>
        </w:rPr>
        <w:t xml:space="preserve">Abstract </w:t>
      </w:r>
    </w:p>
    <w:p w:rsidR="00BE5DF0" w:rsidRDefault="00BE5DF0" w:rsidP="00FC2E00">
      <w:pPr>
        <w:spacing w:after="0" w:line="360" w:lineRule="auto"/>
        <w:jc w:val="both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color w:val="505050"/>
          <w:sz w:val="27"/>
          <w:szCs w:val="27"/>
        </w:rPr>
        <w:t xml:space="preserve">Biopolymers in the form of polyesters were prepared using </w:t>
      </w:r>
      <w:proofErr w:type="spellStart"/>
      <w:r>
        <w:rPr>
          <w:rFonts w:ascii="Arial" w:hAnsi="Arial" w:cs="Arial"/>
          <w:color w:val="505050"/>
          <w:sz w:val="27"/>
          <w:szCs w:val="27"/>
        </w:rPr>
        <w:t>epoxidised</w:t>
      </w:r>
      <w:proofErr w:type="spellEnd"/>
      <w:r>
        <w:rPr>
          <w:rFonts w:ascii="Arial" w:hAnsi="Arial" w:cs="Arial"/>
          <w:color w:val="505050"/>
          <w:sz w:val="27"/>
          <w:szCs w:val="27"/>
        </w:rPr>
        <w:t xml:space="preserve"> methyl esters of oleic acid (EP</w:t>
      </w:r>
      <w:r>
        <w:rPr>
          <w:rFonts w:ascii="Arial" w:hAnsi="Arial" w:cs="Arial"/>
          <w:color w:val="505050"/>
          <w:vertAlign w:val="subscript"/>
        </w:rPr>
        <w:t>OAME</w:t>
      </w:r>
      <w:r>
        <w:rPr>
          <w:rFonts w:ascii="Arial" w:hAnsi="Arial" w:cs="Arial"/>
          <w:color w:val="505050"/>
          <w:sz w:val="27"/>
          <w:szCs w:val="27"/>
        </w:rPr>
        <w:t xml:space="preserve">) and </w:t>
      </w:r>
      <w:proofErr w:type="spellStart"/>
      <w:r>
        <w:rPr>
          <w:rFonts w:ascii="Arial" w:hAnsi="Arial" w:cs="Arial"/>
          <w:color w:val="505050"/>
          <w:sz w:val="27"/>
          <w:szCs w:val="27"/>
        </w:rPr>
        <w:t>epoxidised</w:t>
      </w:r>
      <w:proofErr w:type="spellEnd"/>
      <w:r>
        <w:rPr>
          <w:rFonts w:ascii="Arial" w:hAnsi="Arial" w:cs="Arial"/>
          <w:color w:val="505050"/>
          <w:sz w:val="27"/>
          <w:szCs w:val="27"/>
        </w:rPr>
        <w:t xml:space="preserve"> biodiesel (mixture of methyl esters) obtained from sunflower oil (EP</w:t>
      </w:r>
      <w:r>
        <w:rPr>
          <w:rFonts w:ascii="Arial" w:hAnsi="Arial" w:cs="Arial"/>
          <w:color w:val="505050"/>
          <w:vertAlign w:val="subscript"/>
        </w:rPr>
        <w:t>SOME</w:t>
      </w:r>
      <w:r>
        <w:rPr>
          <w:rFonts w:ascii="Arial" w:hAnsi="Arial" w:cs="Arial"/>
          <w:color w:val="505050"/>
          <w:sz w:val="27"/>
          <w:szCs w:val="27"/>
        </w:rPr>
        <w:t>) and linseed oil (EP</w:t>
      </w:r>
      <w:r>
        <w:rPr>
          <w:rFonts w:ascii="Arial" w:hAnsi="Arial" w:cs="Arial"/>
          <w:color w:val="505050"/>
          <w:vertAlign w:val="subscript"/>
        </w:rPr>
        <w:t>LOME</w:t>
      </w:r>
      <w:r>
        <w:rPr>
          <w:rFonts w:ascii="Arial" w:hAnsi="Arial" w:cs="Arial"/>
          <w:color w:val="505050"/>
          <w:sz w:val="27"/>
          <w:szCs w:val="27"/>
        </w:rPr>
        <w:t>) using cis-1</w:t>
      </w:r>
      <w:proofErr w:type="gramStart"/>
      <w:r>
        <w:rPr>
          <w:rFonts w:ascii="Arial" w:hAnsi="Arial" w:cs="Arial"/>
          <w:color w:val="505050"/>
          <w:sz w:val="27"/>
          <w:szCs w:val="27"/>
        </w:rPr>
        <w:t>,2</w:t>
      </w:r>
      <w:proofErr w:type="gramEnd"/>
      <w:r>
        <w:rPr>
          <w:rFonts w:ascii="Arial" w:hAnsi="Arial" w:cs="Arial"/>
          <w:color w:val="505050"/>
          <w:sz w:val="27"/>
          <w:szCs w:val="27"/>
        </w:rPr>
        <w:t xml:space="preserve">-cyclohexanedicarboxylic anhydride  and </w:t>
      </w:r>
      <w:proofErr w:type="spellStart"/>
      <w:r>
        <w:rPr>
          <w:rFonts w:ascii="Arial" w:hAnsi="Arial" w:cs="Arial"/>
          <w:color w:val="505050"/>
          <w:sz w:val="27"/>
          <w:szCs w:val="27"/>
        </w:rPr>
        <w:t>triethylamine</w:t>
      </w:r>
      <w:proofErr w:type="spellEnd"/>
      <w:r>
        <w:rPr>
          <w:rFonts w:ascii="Arial" w:hAnsi="Arial" w:cs="Arial"/>
          <w:color w:val="505050"/>
          <w:sz w:val="27"/>
          <w:szCs w:val="27"/>
        </w:rPr>
        <w:t xml:space="preserve"> as initiator of the polymerization reaction.</w:t>
      </w:r>
    </w:p>
    <w:p w:rsidR="00BE5DF0" w:rsidRDefault="00FC2E00" w:rsidP="00FC2E00">
      <w:pPr>
        <w:spacing w:after="0" w:line="360" w:lineRule="auto"/>
        <w:jc w:val="both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color w:val="505050"/>
          <w:sz w:val="27"/>
          <w:szCs w:val="27"/>
        </w:rPr>
        <w:t>A model of the polymerization reaction was proposed and t</w:t>
      </w:r>
      <w:r w:rsidR="00BE5DF0">
        <w:rPr>
          <w:rFonts w:ascii="Arial" w:hAnsi="Arial" w:cs="Arial"/>
          <w:color w:val="505050"/>
          <w:sz w:val="27"/>
          <w:szCs w:val="27"/>
        </w:rPr>
        <w:t xml:space="preserve">he kinetic of partial processes involved were elucidated and related to epoxy rings position in the fatty acid chain. </w:t>
      </w:r>
    </w:p>
    <w:p w:rsidR="00694148" w:rsidRDefault="00C91992" w:rsidP="00FC2E00">
      <w:pPr>
        <w:spacing w:after="0" w:line="360" w:lineRule="auto"/>
        <w:jc w:val="both"/>
      </w:pPr>
      <w:r>
        <w:rPr>
          <w:rFonts w:ascii="Arial" w:hAnsi="Arial" w:cs="Arial"/>
          <w:color w:val="505050"/>
          <w:sz w:val="27"/>
          <w:szCs w:val="27"/>
        </w:rPr>
        <w:t>The activation energies (</w:t>
      </w:r>
      <w:r>
        <w:rPr>
          <w:rStyle w:val="nfase"/>
          <w:rFonts w:ascii="Arial" w:hAnsi="Arial" w:cs="Arial"/>
          <w:color w:val="505050"/>
          <w:sz w:val="27"/>
          <w:szCs w:val="27"/>
        </w:rPr>
        <w:t>E</w:t>
      </w:r>
      <w:r>
        <w:rPr>
          <w:rFonts w:ascii="Arial" w:hAnsi="Arial" w:cs="Arial"/>
          <w:color w:val="505050"/>
          <w:vertAlign w:val="subscript"/>
        </w:rPr>
        <w:t>a</w:t>
      </w:r>
      <w:r>
        <w:rPr>
          <w:rFonts w:ascii="Arial" w:hAnsi="Arial" w:cs="Arial"/>
          <w:color w:val="505050"/>
          <w:sz w:val="27"/>
          <w:szCs w:val="27"/>
        </w:rPr>
        <w:t>) for the epoxy ring opening by the catalyst are 298, 216 and 136 kJ/mol for EP</w:t>
      </w:r>
      <w:r>
        <w:rPr>
          <w:rFonts w:ascii="Arial" w:hAnsi="Arial" w:cs="Arial"/>
          <w:color w:val="505050"/>
          <w:vertAlign w:val="subscript"/>
        </w:rPr>
        <w:t>OAME</w:t>
      </w:r>
      <w:r>
        <w:rPr>
          <w:rFonts w:ascii="Arial" w:hAnsi="Arial" w:cs="Arial"/>
          <w:color w:val="505050"/>
          <w:sz w:val="27"/>
          <w:szCs w:val="27"/>
        </w:rPr>
        <w:t>, EP</w:t>
      </w:r>
      <w:r>
        <w:rPr>
          <w:rFonts w:ascii="Arial" w:hAnsi="Arial" w:cs="Arial"/>
          <w:color w:val="505050"/>
          <w:vertAlign w:val="subscript"/>
        </w:rPr>
        <w:t>SOME</w:t>
      </w:r>
      <w:r>
        <w:rPr>
          <w:rFonts w:ascii="Arial" w:hAnsi="Arial" w:cs="Arial"/>
          <w:color w:val="505050"/>
          <w:sz w:val="27"/>
          <w:szCs w:val="27"/>
        </w:rPr>
        <w:t xml:space="preserve"> and </w:t>
      </w:r>
      <w:proofErr w:type="spellStart"/>
      <w:r>
        <w:rPr>
          <w:rFonts w:ascii="Arial" w:hAnsi="Arial" w:cs="Arial"/>
          <w:color w:val="505050"/>
          <w:sz w:val="27"/>
          <w:szCs w:val="27"/>
        </w:rPr>
        <w:t>EP</w:t>
      </w:r>
      <w:r>
        <w:rPr>
          <w:rFonts w:ascii="Arial" w:hAnsi="Arial" w:cs="Arial"/>
          <w:color w:val="505050"/>
          <w:vertAlign w:val="subscript"/>
        </w:rPr>
        <w:t>LOME</w:t>
      </w:r>
      <w:r>
        <w:rPr>
          <w:rFonts w:ascii="Arial" w:hAnsi="Arial" w:cs="Arial"/>
          <w:color w:val="505050"/>
          <w:sz w:val="27"/>
          <w:szCs w:val="27"/>
        </w:rPr>
        <w:t>respectively</w:t>
      </w:r>
      <w:proofErr w:type="spellEnd"/>
      <w:r>
        <w:rPr>
          <w:rFonts w:ascii="Arial" w:hAnsi="Arial" w:cs="Arial"/>
          <w:color w:val="505050"/>
          <w:sz w:val="27"/>
          <w:szCs w:val="27"/>
        </w:rPr>
        <w:t>. The reactions of the epoxy rings in the positions C9–C10, C12–C13 and C15–C16 with anhydride require average activation energies of 116, 32 and 22 kJ/mol, respectively. The compensation effect between activation energy and pre-exponential factor is observed. The polymerisation enthalpy, molecular weight, glass transition temperature and electrical properties were determined. The polyesters studied show promising properties for use in various technological applications.</w:t>
      </w:r>
    </w:p>
    <w:sectPr w:rsidR="00694148" w:rsidSect="00694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20"/>
  <w:characterSpacingControl w:val="doNotCompress"/>
  <w:compat/>
  <w:rsids>
    <w:rsidRoot w:val="00C91992"/>
    <w:rsid w:val="00273152"/>
    <w:rsid w:val="00694148"/>
    <w:rsid w:val="00B83793"/>
    <w:rsid w:val="00BE5DF0"/>
    <w:rsid w:val="00C91992"/>
    <w:rsid w:val="00E01ED4"/>
    <w:rsid w:val="00FC2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148"/>
  </w:style>
  <w:style w:type="paragraph" w:styleId="Ttulo1">
    <w:name w:val="heading 1"/>
    <w:basedOn w:val="Normal"/>
    <w:link w:val="Ttulo1Char"/>
    <w:uiPriority w:val="9"/>
    <w:qFormat/>
    <w:rsid w:val="00FC2E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Ttulo4">
    <w:name w:val="heading 4"/>
    <w:basedOn w:val="Normal"/>
    <w:link w:val="Ttulo4Char"/>
    <w:uiPriority w:val="9"/>
    <w:qFormat/>
    <w:rsid w:val="00FC2E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C91992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FC2E0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Ttulo4Char">
    <w:name w:val="Título 4 Char"/>
    <w:basedOn w:val="Fontepargpadro"/>
    <w:link w:val="Ttulo4"/>
    <w:uiPriority w:val="9"/>
    <w:rsid w:val="00FC2E00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h3">
    <w:name w:val="h3"/>
    <w:basedOn w:val="Normal"/>
    <w:rsid w:val="00FC2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1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dimitrios samios</dc:creator>
  <cp:lastModifiedBy>dimitrios samios</cp:lastModifiedBy>
  <cp:revision>2</cp:revision>
  <dcterms:created xsi:type="dcterms:W3CDTF">2017-11-28T18:20:00Z</dcterms:created>
  <dcterms:modified xsi:type="dcterms:W3CDTF">2017-11-28T18:20:00Z</dcterms:modified>
</cp:coreProperties>
</file>