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C5C" w:rsidRPr="00521C5C" w:rsidRDefault="00521C5C" w:rsidP="00521C5C">
      <w:pPr>
        <w:rPr>
          <w:rFonts w:ascii="Verdana" w:hAnsi="Verdana"/>
          <w:b/>
          <w:bCs/>
          <w:u w:val="single"/>
        </w:rPr>
      </w:pPr>
      <w:r w:rsidRPr="00521C5C">
        <w:rPr>
          <w:rFonts w:ascii="Verdana" w:hAnsi="Verdana"/>
          <w:b/>
          <w:bCs/>
          <w:u w:val="single"/>
        </w:rPr>
        <w:t xml:space="preserve">Understanding the Concept Of Double Hit Lymphomas: A Short Review:  </w:t>
      </w:r>
    </w:p>
    <w:p w:rsidR="00521C5C" w:rsidRPr="00521C5C" w:rsidRDefault="00521C5C" w:rsidP="00521C5C">
      <w:pPr>
        <w:rPr>
          <w:rFonts w:ascii="Verdana" w:hAnsi="Verdana"/>
          <w:sz w:val="18"/>
          <w:szCs w:val="18"/>
        </w:rPr>
      </w:pPr>
      <w:r w:rsidRPr="00521C5C">
        <w:rPr>
          <w:rFonts w:ascii="Verdana" w:hAnsi="Verdana"/>
          <w:sz w:val="18"/>
          <w:szCs w:val="18"/>
        </w:rPr>
        <w:t>Anila Chughtai, Irfan Bashir, Rana Fayyaz Anwer, Samina Zaman, A. S. Chughtai</w:t>
      </w:r>
    </w:p>
    <w:p w:rsidR="00521C5C" w:rsidRPr="00521C5C" w:rsidRDefault="00521C5C" w:rsidP="00521C5C">
      <w:pPr>
        <w:rPr>
          <w:rFonts w:ascii="Verdana" w:hAnsi="Verdana"/>
        </w:rPr>
      </w:pPr>
    </w:p>
    <w:p w:rsidR="00521C5C" w:rsidRPr="00521C5C" w:rsidRDefault="00521C5C" w:rsidP="00521C5C">
      <w:pPr>
        <w:rPr>
          <w:rFonts w:ascii="Verdana" w:hAnsi="Verdana"/>
          <w:b/>
          <w:bCs/>
          <w:u w:val="single"/>
        </w:rPr>
      </w:pPr>
      <w:r w:rsidRPr="00521C5C">
        <w:rPr>
          <w:rFonts w:ascii="Verdana" w:hAnsi="Verdana"/>
          <w:b/>
          <w:bCs/>
          <w:u w:val="single"/>
        </w:rPr>
        <w:t>Abstract:</w:t>
      </w:r>
    </w:p>
    <w:p w:rsidR="009D3687" w:rsidRPr="00521C5C" w:rsidRDefault="00521C5C" w:rsidP="00521C5C">
      <w:pPr>
        <w:rPr>
          <w:rFonts w:ascii="Verdana" w:hAnsi="Verdana"/>
        </w:rPr>
      </w:pPr>
      <w:r w:rsidRPr="00521C5C">
        <w:rPr>
          <w:rFonts w:ascii="Verdana" w:hAnsi="Verdana"/>
        </w:rPr>
        <w:t>Double hit lymphoma (DHL) is a new entity recently incorporated by WHO in its latest lymphoma classification. It is defined as high grade B-cell lymphoma (HGBL) with MYC, BCL2 and/or BCL6 rearrangements. In the past few decade, a subset of high grade B cell Non-Hodgkin’s lymphomas (HGBL) has emerged as refractory lymphomas with poor response to conventional chemotherapy and overall dismal prognosis. Recent studies have proposed novel genetic aberration like C-MYC in combination with either BCL2 (77%) or BCL6 (9%) which trigger treatment failure. No specific histomorphological features can be assigned to these lymphomas. However, few soft histological clues include sheet like growth pattern of intermediate to large sized cell with evident nuclear pleomorphism, high mitotic count, necrosis and starry sky appearance at low magnification. The ancillary workup for DHL includes immunohistochemical (IHC) and cytogenetic studies. These lymphomas express MYC, BCL-2 and/or BCL-6 on IHC with subsequent rearrangements confirmed on either Fluorescence in-situ hybridization (FISH) studies or karyotyping. Significance of the diagnosis of DHLs lies in the fact that conventional chemotherapy regime like R-CHOP (rituximab, cyclophosphamide, doxorubicin, vincristine, and prednisone) are ineffective. Hence, this diagnosis is necessary in order to guide patient’s management with different and aggressive chemotherapy regimens so that complete remission and longer event free survival may be obtained.</w:t>
      </w:r>
      <w:bookmarkStart w:id="0" w:name="_GoBack"/>
      <w:bookmarkEnd w:id="0"/>
    </w:p>
    <w:sectPr w:rsidR="009D3687" w:rsidRPr="00521C5C" w:rsidSect="00211D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21C5C"/>
    <w:rsid w:val="000867A1"/>
    <w:rsid w:val="00211D87"/>
    <w:rsid w:val="00521C5C"/>
    <w:rsid w:val="009D36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D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I B</dc:creator>
  <cp:lastModifiedBy>Administrator</cp:lastModifiedBy>
  <cp:revision>2</cp:revision>
  <dcterms:created xsi:type="dcterms:W3CDTF">2018-05-23T04:51:00Z</dcterms:created>
  <dcterms:modified xsi:type="dcterms:W3CDTF">2018-05-23T04:51:00Z</dcterms:modified>
</cp:coreProperties>
</file>