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E37" w:rsidRDefault="00593D5F" w:rsidP="00F53034">
      <w:pPr>
        <w:pStyle w:val="Titolo1"/>
        <w:spacing w:before="170"/>
        <w:ind w:left="0"/>
        <w:jc w:val="both"/>
      </w:pPr>
      <w:bookmarkStart w:id="0" w:name="_Hlk524358629"/>
      <w:bookmarkEnd w:id="0"/>
      <w:r>
        <w:rPr>
          <w:color w:val="337AB7"/>
        </w:rPr>
        <w:t>Hybrid smart nanocrystals and the shielding effect of phospholipic bilayer for biomedical application</w:t>
      </w:r>
    </w:p>
    <w:p w:rsidR="00354503" w:rsidRDefault="00716033" w:rsidP="00F53034">
      <w:pPr>
        <w:pStyle w:val="Corpotesto"/>
        <w:spacing w:before="73" w:line="198" w:lineRule="exact"/>
        <w:ind w:left="100" w:right="-83"/>
        <w:rPr>
          <w:rFonts w:ascii="Arial"/>
          <w:lang w:val="it-IT"/>
        </w:rPr>
      </w:pPr>
      <w:bookmarkStart w:id="1" w:name="_Hlk524358116"/>
      <w:r w:rsidRPr="00716033">
        <w:rPr>
          <w:rFonts w:ascii="Arial"/>
          <w:lang w:val="it-IT"/>
        </w:rPr>
        <w:t xml:space="preserve">Valentina Cauda, </w:t>
      </w:r>
      <w:r w:rsidR="00593D5F">
        <w:rPr>
          <w:rFonts w:ascii="Arial"/>
          <w:lang w:val="it-IT"/>
        </w:rPr>
        <w:t xml:space="preserve">Professor, </w:t>
      </w:r>
      <w:r w:rsidRPr="00716033">
        <w:rPr>
          <w:rFonts w:ascii="Arial"/>
          <w:lang w:val="it-IT"/>
        </w:rPr>
        <w:t xml:space="preserve">Bianca Dumontel, </w:t>
      </w:r>
      <w:r w:rsidR="00593D5F">
        <w:rPr>
          <w:rFonts w:ascii="Arial"/>
          <w:lang w:val="it-IT"/>
        </w:rPr>
        <w:t>MD, Francesca Susa, MD, M</w:t>
      </w:r>
      <w:r w:rsidRPr="00716033">
        <w:rPr>
          <w:rFonts w:ascii="Arial"/>
          <w:lang w:val="it-IT"/>
        </w:rPr>
        <w:t xml:space="preserve">arta Canta, </w:t>
      </w:r>
      <w:r w:rsidR="00593D5F">
        <w:rPr>
          <w:rFonts w:ascii="Arial"/>
          <w:lang w:val="it-IT"/>
        </w:rPr>
        <w:t xml:space="preserve">MD, Luisa Racca, MD, </w:t>
      </w:r>
      <w:r w:rsidR="009E2C72">
        <w:rPr>
          <w:rFonts w:ascii="Arial"/>
          <w:lang w:val="it-IT"/>
        </w:rPr>
        <w:t xml:space="preserve">Andrea Ancona, PhD, </w:t>
      </w:r>
      <w:r w:rsidRPr="00716033">
        <w:rPr>
          <w:rFonts w:ascii="Arial"/>
          <w:lang w:val="it-IT"/>
        </w:rPr>
        <w:t xml:space="preserve">Nadia Garino, </w:t>
      </w:r>
      <w:r w:rsidR="00593D5F">
        <w:rPr>
          <w:rFonts w:ascii="Arial"/>
          <w:lang w:val="it-IT"/>
        </w:rPr>
        <w:t xml:space="preserve">PhD, </w:t>
      </w:r>
      <w:r w:rsidRPr="00716033">
        <w:rPr>
          <w:rFonts w:ascii="Arial"/>
          <w:lang w:val="it-IT"/>
        </w:rPr>
        <w:t>Tania Limongi</w:t>
      </w:r>
      <w:r w:rsidR="005973B9" w:rsidRPr="00716033">
        <w:rPr>
          <w:rFonts w:ascii="Arial"/>
          <w:lang w:val="it-IT"/>
        </w:rPr>
        <w:t>, PhD,</w:t>
      </w:r>
      <w:r w:rsidR="009E2C72">
        <w:rPr>
          <w:rFonts w:ascii="Arial"/>
          <w:lang w:val="it-IT"/>
        </w:rPr>
        <w:t xml:space="preserve"> Giancarlo Canavese, PhD</w:t>
      </w:r>
      <w:r w:rsidR="00313B58">
        <w:rPr>
          <w:rFonts w:ascii="Arial"/>
          <w:lang w:val="it-IT"/>
        </w:rPr>
        <w:t>, Marco Laurenti, PhD</w:t>
      </w:r>
      <w:r w:rsidR="009E2C72">
        <w:rPr>
          <w:rFonts w:ascii="Arial"/>
          <w:lang w:val="it-IT"/>
        </w:rPr>
        <w:t xml:space="preserve"> </w:t>
      </w:r>
    </w:p>
    <w:p w:rsidR="00AE3E37" w:rsidRPr="00D75A81" w:rsidRDefault="00593D5F" w:rsidP="00593D5F">
      <w:pPr>
        <w:pStyle w:val="Corpotesto"/>
        <w:spacing w:before="73" w:line="198" w:lineRule="exact"/>
        <w:ind w:left="100" w:right="1192"/>
        <w:rPr>
          <w:rFonts w:ascii="Arial"/>
          <w:lang w:val="en-GB"/>
        </w:rPr>
      </w:pPr>
      <w:r w:rsidRPr="00D75A81">
        <w:rPr>
          <w:rFonts w:ascii="Arial"/>
          <w:lang w:val="en-GB"/>
        </w:rPr>
        <w:t>Politecnico di Torino,</w:t>
      </w:r>
      <w:r w:rsidR="005973B9" w:rsidRPr="00D75A81">
        <w:rPr>
          <w:rFonts w:ascii="Arial"/>
          <w:lang w:val="en-GB"/>
        </w:rPr>
        <w:t xml:space="preserve"> </w:t>
      </w:r>
      <w:r w:rsidR="00D75A81" w:rsidRPr="00D75A81">
        <w:rPr>
          <w:rFonts w:ascii="Arial"/>
          <w:lang w:val="en-GB"/>
        </w:rPr>
        <w:t>Department of Applied Sc</w:t>
      </w:r>
      <w:r w:rsidR="008A194E">
        <w:rPr>
          <w:rFonts w:ascii="Arial"/>
          <w:lang w:val="en-GB"/>
        </w:rPr>
        <w:t>ie</w:t>
      </w:r>
      <w:r w:rsidR="00D75A81" w:rsidRPr="00D75A81">
        <w:rPr>
          <w:rFonts w:ascii="Arial"/>
          <w:lang w:val="en-GB"/>
        </w:rPr>
        <w:t>nce and Technology</w:t>
      </w:r>
      <w:r w:rsidR="00D75A81">
        <w:rPr>
          <w:rFonts w:ascii="Arial"/>
          <w:lang w:val="en-GB"/>
        </w:rPr>
        <w:t xml:space="preserve">, </w:t>
      </w:r>
      <w:r w:rsidR="00D75A81" w:rsidRPr="00D75A81">
        <w:rPr>
          <w:rFonts w:ascii="Arial"/>
          <w:lang w:val="en-GB"/>
        </w:rPr>
        <w:t xml:space="preserve">Turin, </w:t>
      </w:r>
      <w:r w:rsidRPr="00D75A81">
        <w:rPr>
          <w:rFonts w:ascii="Arial"/>
          <w:lang w:val="en-GB"/>
        </w:rPr>
        <w:t>Italy</w:t>
      </w:r>
    </w:p>
    <w:bookmarkEnd w:id="1"/>
    <w:p w:rsidR="00AE3E37" w:rsidRPr="00D75A81" w:rsidRDefault="00AE3E37">
      <w:pPr>
        <w:rPr>
          <w:rFonts w:ascii="Arial"/>
          <w:sz w:val="21"/>
          <w:lang w:val="en-GB"/>
        </w:rPr>
        <w:sectPr w:rsidR="00AE3E37" w:rsidRPr="00D75A81" w:rsidSect="007D3A55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Titolo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956088" w:rsidRDefault="00A9710C" w:rsidP="001D466A">
      <w:pPr>
        <w:pStyle w:val="Corpotesto"/>
        <w:spacing w:line="280" w:lineRule="auto"/>
        <w:ind w:left="100"/>
        <w:jc w:val="both"/>
      </w:pPr>
      <w:bookmarkStart w:id="2" w:name="_Hlk524358245"/>
      <w:r>
        <w:t xml:space="preserve">Statement of the Problem: </w:t>
      </w:r>
      <w:r w:rsidR="00354503">
        <w:t xml:space="preserve">Zinc oxide nanocrystals (ZnO NCs), thanks to their unique properties, are receiving much attention for their use in nanomedicine, in particular for therapy against cancer [1]. To be efficiently employed as diagnostic and therapeutic (yet theranostic) tools [2], highly dispersed, stable and non-toxic nanoparticles are required. In the case of ZnO NCs, there is still a lack of knowledge about cytotoxicity mechanisms and stability in the biological context, as well as immunological response and haemocompatible features. We thus propose a novel approach to </w:t>
      </w:r>
      <w:r w:rsidR="001D466A">
        <w:t xml:space="preserve">render </w:t>
      </w:r>
      <w:r w:rsidR="00272D2B">
        <w:t>stable, immune and hemo</w:t>
      </w:r>
      <w:r w:rsidR="001D466A">
        <w:t xml:space="preserve">compatible </w:t>
      </w:r>
      <w:r w:rsidR="00354503">
        <w:t>the</w:t>
      </w:r>
      <w:r w:rsidR="001D466A">
        <w:t>se</w:t>
      </w:r>
      <w:r w:rsidR="00354503">
        <w:t xml:space="preserve"> ZnO NCs in various biological media</w:t>
      </w:r>
      <w:r w:rsidR="00272D2B">
        <w:t xml:space="preserve"> </w:t>
      </w:r>
      <w:r w:rsidR="001D466A">
        <w:t>using artificial and natural phospholipidic bilayers</w:t>
      </w:r>
      <w:r w:rsidR="00354503">
        <w:t xml:space="preserve">. </w:t>
      </w:r>
    </w:p>
    <w:p w:rsidR="00354503" w:rsidRDefault="001D466A" w:rsidP="001D466A">
      <w:pPr>
        <w:pStyle w:val="Corpotesto"/>
        <w:spacing w:line="280" w:lineRule="auto"/>
        <w:ind w:left="100"/>
        <w:jc w:val="both"/>
      </w:pPr>
      <w:r>
        <w:t>Methodology:</w:t>
      </w:r>
      <w:r>
        <w:t xml:space="preserve"> </w:t>
      </w:r>
      <w:r w:rsidR="00354503">
        <w:t xml:space="preserve">We synthesized </w:t>
      </w:r>
      <w:r>
        <w:t xml:space="preserve">amino-functionalized </w:t>
      </w:r>
      <w:r w:rsidR="00354503">
        <w:t>ZnO NCs,</w:t>
      </w:r>
      <w:r>
        <w:t xml:space="preserve"> then shielded with</w:t>
      </w:r>
      <w:r w:rsidR="00354503">
        <w:t xml:space="preserve"> </w:t>
      </w:r>
      <w:r>
        <w:t>phospho</w:t>
      </w:r>
      <w:r w:rsidR="00354503">
        <w:t>lipid bilayer</w:t>
      </w:r>
      <w:r>
        <w:t>s either from synthetic origin or natural biovesicles. W</w:t>
      </w:r>
      <w:r w:rsidR="00354503">
        <w:t xml:space="preserve">e characterized their </w:t>
      </w:r>
      <w:r>
        <w:t xml:space="preserve">structural, </w:t>
      </w:r>
      <w:r w:rsidR="00354503">
        <w:t xml:space="preserve">morphological, </w:t>
      </w:r>
      <w:r w:rsidR="00956088">
        <w:t>physico-</w:t>
      </w:r>
      <w:r w:rsidR="00354503">
        <w:t>chemical properties</w:t>
      </w:r>
      <w:r>
        <w:t xml:space="preserve">, focusing on the coupling mechanism between ZnO NCs and the lipid vesicles. The stability behavior of </w:t>
      </w:r>
      <w:r w:rsidR="00354503">
        <w:t xml:space="preserve">different </w:t>
      </w:r>
      <w:r>
        <w:t>hybrid nanocrystals</w:t>
      </w:r>
      <w:r w:rsidR="00354503">
        <w:t xml:space="preserve"> was evaluated, comparing their biodegradation profiles in different </w:t>
      </w:r>
      <w:r w:rsidR="00272D2B">
        <w:t xml:space="preserve">inorganic and biological </w:t>
      </w:r>
      <w:r w:rsidR="00354503">
        <w:t>media. The studies aim to investigate how the particle surface chemistry and charge could influence their aggregation</w:t>
      </w:r>
      <w:r w:rsidR="00956088">
        <w:t>/</w:t>
      </w:r>
      <w:r w:rsidR="00354503">
        <w:t xml:space="preserve"> degrada</w:t>
      </w:r>
      <w:r>
        <w:t xml:space="preserve">tion in the different </w:t>
      </w:r>
      <w:r w:rsidR="00272D2B">
        <w:t>media</w:t>
      </w:r>
      <w:r w:rsidR="00956088">
        <w:t xml:space="preserve"> and interaction with cells</w:t>
      </w:r>
      <w:r>
        <w:t xml:space="preserve">. We </w:t>
      </w:r>
      <w:r w:rsidR="00956088">
        <w:t>actually</w:t>
      </w:r>
      <w:r>
        <w:t xml:space="preserve"> proved the</w:t>
      </w:r>
      <w:r w:rsidR="00272D2B">
        <w:t>ir</w:t>
      </w:r>
      <w:r>
        <w:t xml:space="preserve"> haemocompatibility in human plasma</w:t>
      </w:r>
      <w:r w:rsidR="00272D2B">
        <w:t xml:space="preserve"> and </w:t>
      </w:r>
      <w:r>
        <w:t>the</w:t>
      </w:r>
      <w:r w:rsidR="00272D2B">
        <w:t>ir</w:t>
      </w:r>
      <w:r>
        <w:t xml:space="preserve"> </w:t>
      </w:r>
      <w:r w:rsidR="00272D2B">
        <w:t xml:space="preserve">internalization into cancer cells and related cytotoxicity mechanisms. </w:t>
      </w:r>
      <w:r w:rsidR="00956088">
        <w:t>A</w:t>
      </w:r>
      <w:r w:rsidR="00272D2B">
        <w:t xml:space="preserve"> stimuli responsive activation by UV-light was investigated for inducing high mortality of cancer cells based on the hybrid NCs.</w:t>
      </w:r>
    </w:p>
    <w:p w:rsidR="00AE3E37" w:rsidRDefault="00A9710C" w:rsidP="001D466A">
      <w:pPr>
        <w:pStyle w:val="Corpotesto"/>
        <w:spacing w:line="280" w:lineRule="auto"/>
        <w:ind w:left="100"/>
        <w:jc w:val="both"/>
      </w:pPr>
      <w:r>
        <w:t xml:space="preserve">Findings: </w:t>
      </w:r>
      <w:r w:rsidR="001D466A">
        <w:t xml:space="preserve">We demonstrated that </w:t>
      </w:r>
      <w:r w:rsidR="001D466A">
        <w:t>pristine</w:t>
      </w:r>
      <w:r w:rsidR="001D466A">
        <w:t xml:space="preserve"> ZnO NCs strongly aggregate when suspended in both simulated and biological media</w:t>
      </w:r>
      <w:r w:rsidR="00272D2B">
        <w:t xml:space="preserve">, showing </w:t>
      </w:r>
      <w:r w:rsidR="001D466A">
        <w:t>small dissolution into potentially cytotoxic Zn-cations, also slightly affecting their crystalline structure. In contrast, high colloidal stability and integrity was retained for</w:t>
      </w:r>
      <w:r w:rsidR="001D466A">
        <w:t xml:space="preserve"> hybrid</w:t>
      </w:r>
      <w:r w:rsidR="001D466A">
        <w:t xml:space="preserve"> lipid-shielded ZnO NCs in all media</w:t>
      </w:r>
      <w:r w:rsidR="001D466A">
        <w:t xml:space="preserve"> </w:t>
      </w:r>
      <w:r w:rsidR="001D466A">
        <w:t>[3</w:t>
      </w:r>
      <w:r w:rsidR="00272D2B">
        <w:t>,4</w:t>
      </w:r>
      <w:r w:rsidR="001D466A">
        <w:t>]</w:t>
      </w:r>
      <w:r w:rsidR="00272D2B">
        <w:t xml:space="preserve">, accompanied </w:t>
      </w:r>
      <w:r w:rsidR="00313B58">
        <w:t xml:space="preserve">by high biocompatibility, </w:t>
      </w:r>
      <w:r w:rsidR="00272D2B">
        <w:t xml:space="preserve">efficient cell internalization and effective </w:t>
      </w:r>
      <w:r w:rsidR="00313B58">
        <w:t xml:space="preserve">killing </w:t>
      </w:r>
      <w:r w:rsidR="00956088">
        <w:t xml:space="preserve">ability only upon </w:t>
      </w:r>
      <w:r w:rsidR="00272D2B">
        <w:t>stimuli-</w:t>
      </w:r>
      <w:r w:rsidR="00956088">
        <w:t>activation</w:t>
      </w:r>
      <w:r w:rsidR="001D466A">
        <w:t>.</w:t>
      </w:r>
      <w:r w:rsidR="00956088">
        <w:t xml:space="preserve"> These features render these hybrid ZnO NCs</w:t>
      </w:r>
      <w:r w:rsidR="001D466A">
        <w:t xml:space="preserve"> ideal </w:t>
      </w:r>
      <w:r w:rsidR="00313B58">
        <w:t>“Trojan horses”</w:t>
      </w:r>
      <w:r w:rsidR="001D466A">
        <w:t xml:space="preserve"> for further theranostic applications. </w:t>
      </w:r>
    </w:p>
    <w:bookmarkEnd w:id="2"/>
    <w:p w:rsidR="007D3A55" w:rsidRDefault="00A9710C" w:rsidP="007D3A55">
      <w:pPr>
        <w:pStyle w:val="Titolo3"/>
        <w:spacing w:before="74"/>
        <w:ind w:left="0"/>
        <w:rPr>
          <w:color w:val="BF5A14"/>
        </w:rPr>
      </w:pPr>
      <w:r>
        <w:rPr>
          <w:color w:val="BF5A14"/>
        </w:rPr>
        <w:t>Image</w:t>
      </w:r>
    </w:p>
    <w:p w:rsidR="008F028F" w:rsidRDefault="009560E6" w:rsidP="007D3A55">
      <w:pPr>
        <w:pStyle w:val="Titolo3"/>
        <w:spacing w:before="74"/>
        <w:ind w:left="0"/>
        <w:rPr>
          <w:rFonts w:ascii="Tw Cen MT" w:eastAsia="Tw Cen MT" w:hAnsi="Tw Cen MT" w:cs="Tw Cen MT"/>
          <w:bCs w:val="0"/>
          <w:sz w:val="18"/>
          <w:szCs w:val="18"/>
        </w:rPr>
      </w:pPr>
      <w:bookmarkStart w:id="3" w:name="_GoBack"/>
      <w:r>
        <w:rPr>
          <w:rFonts w:ascii="Tw Cen MT" w:eastAsia="Tw Cen MT" w:hAnsi="Tw Cen MT" w:cs="Tw Cen MT"/>
          <w:bCs w:val="0"/>
          <w:noProof/>
          <w:sz w:val="18"/>
          <w:szCs w:val="1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-3175</wp:posOffset>
            </wp:positionH>
            <wp:positionV relativeFrom="paragraph">
              <wp:posOffset>45720</wp:posOffset>
            </wp:positionV>
            <wp:extent cx="3662680" cy="2155825"/>
            <wp:effectExtent l="0" t="0" r="0" b="0"/>
            <wp:wrapSquare wrapText="bothSides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2680" cy="2155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3"/>
    </w:p>
    <w:p w:rsidR="008F028F" w:rsidRDefault="008F028F" w:rsidP="007D3A55">
      <w:pPr>
        <w:pStyle w:val="Titolo3"/>
        <w:spacing w:before="74"/>
        <w:ind w:left="0"/>
        <w:rPr>
          <w:rFonts w:ascii="Tw Cen MT" w:eastAsia="Tw Cen MT" w:hAnsi="Tw Cen MT" w:cs="Tw Cen MT"/>
          <w:bCs w:val="0"/>
          <w:sz w:val="18"/>
          <w:szCs w:val="18"/>
        </w:rPr>
      </w:pPr>
    </w:p>
    <w:p w:rsidR="008F028F" w:rsidRDefault="008F028F" w:rsidP="007D3A55">
      <w:pPr>
        <w:pStyle w:val="Titolo3"/>
        <w:spacing w:before="74"/>
        <w:ind w:left="0"/>
        <w:rPr>
          <w:rFonts w:ascii="Tw Cen MT" w:eastAsia="Tw Cen MT" w:hAnsi="Tw Cen MT" w:cs="Tw Cen MT"/>
          <w:bCs w:val="0"/>
          <w:sz w:val="18"/>
          <w:szCs w:val="18"/>
        </w:rPr>
      </w:pPr>
    </w:p>
    <w:p w:rsidR="008F028F" w:rsidRDefault="008F028F" w:rsidP="007D3A55">
      <w:pPr>
        <w:pStyle w:val="Titolo3"/>
        <w:spacing w:before="74"/>
        <w:ind w:left="0"/>
        <w:rPr>
          <w:rFonts w:ascii="Tw Cen MT" w:eastAsia="Tw Cen MT" w:hAnsi="Tw Cen MT" w:cs="Tw Cen MT"/>
          <w:bCs w:val="0"/>
          <w:sz w:val="18"/>
          <w:szCs w:val="18"/>
        </w:rPr>
      </w:pPr>
    </w:p>
    <w:p w:rsidR="008F028F" w:rsidRDefault="008F028F" w:rsidP="007D3A55">
      <w:pPr>
        <w:pStyle w:val="Titolo3"/>
        <w:spacing w:before="74"/>
        <w:ind w:left="0"/>
        <w:rPr>
          <w:rFonts w:ascii="Tw Cen MT" w:eastAsia="Tw Cen MT" w:hAnsi="Tw Cen MT" w:cs="Tw Cen MT"/>
          <w:bCs w:val="0"/>
          <w:sz w:val="18"/>
          <w:szCs w:val="18"/>
        </w:rPr>
      </w:pPr>
    </w:p>
    <w:p w:rsidR="008F028F" w:rsidRDefault="008F028F" w:rsidP="007D3A55">
      <w:pPr>
        <w:pStyle w:val="Titolo3"/>
        <w:spacing w:before="74"/>
        <w:ind w:left="0"/>
        <w:rPr>
          <w:rFonts w:ascii="Tw Cen MT" w:eastAsia="Tw Cen MT" w:hAnsi="Tw Cen MT" w:cs="Tw Cen MT"/>
          <w:bCs w:val="0"/>
          <w:sz w:val="18"/>
          <w:szCs w:val="18"/>
        </w:rPr>
      </w:pPr>
    </w:p>
    <w:p w:rsidR="008F028F" w:rsidRDefault="008F028F" w:rsidP="007D3A55">
      <w:pPr>
        <w:pStyle w:val="Titolo3"/>
        <w:spacing w:before="74"/>
        <w:ind w:left="0"/>
        <w:rPr>
          <w:rFonts w:ascii="Tw Cen MT" w:eastAsia="Tw Cen MT" w:hAnsi="Tw Cen MT" w:cs="Tw Cen MT"/>
          <w:bCs w:val="0"/>
          <w:sz w:val="18"/>
          <w:szCs w:val="18"/>
        </w:rPr>
      </w:pPr>
    </w:p>
    <w:p w:rsidR="008F028F" w:rsidRDefault="008F028F" w:rsidP="007D3A55">
      <w:pPr>
        <w:pStyle w:val="Titolo3"/>
        <w:spacing w:before="74"/>
        <w:ind w:left="0"/>
        <w:rPr>
          <w:rFonts w:ascii="Tw Cen MT" w:eastAsia="Tw Cen MT" w:hAnsi="Tw Cen MT" w:cs="Tw Cen MT"/>
          <w:bCs w:val="0"/>
          <w:sz w:val="18"/>
          <w:szCs w:val="18"/>
        </w:rPr>
      </w:pPr>
    </w:p>
    <w:p w:rsidR="008F028F" w:rsidRDefault="008F028F" w:rsidP="007D3A55">
      <w:pPr>
        <w:pStyle w:val="Titolo3"/>
        <w:spacing w:before="74"/>
        <w:ind w:left="0"/>
        <w:rPr>
          <w:rFonts w:ascii="Tw Cen MT" w:eastAsia="Tw Cen MT" w:hAnsi="Tw Cen MT" w:cs="Tw Cen MT"/>
          <w:bCs w:val="0"/>
          <w:sz w:val="18"/>
          <w:szCs w:val="18"/>
        </w:rPr>
      </w:pPr>
    </w:p>
    <w:p w:rsidR="007D3A55" w:rsidRDefault="008F028F" w:rsidP="008F028F">
      <w:pPr>
        <w:pStyle w:val="Titolo3"/>
        <w:spacing w:before="74"/>
        <w:ind w:left="0"/>
        <w:jc w:val="both"/>
        <w:rPr>
          <w:rFonts w:eastAsia="Tw Cen MT" w:hAnsi="Tw Cen MT" w:cs="Tw Cen MT"/>
          <w:b w:val="0"/>
          <w:bCs w:val="0"/>
          <w:sz w:val="16"/>
          <w:szCs w:val="18"/>
        </w:rPr>
      </w:pPr>
      <w:r w:rsidRPr="008F028F">
        <w:rPr>
          <w:rFonts w:ascii="Tw Cen MT" w:eastAsia="Tw Cen MT" w:hAnsi="Tw Cen MT" w:cs="Tw Cen MT"/>
          <w:bCs w:val="0"/>
          <w:sz w:val="18"/>
          <w:szCs w:val="18"/>
        </w:rPr>
        <w:t xml:space="preserve">Figure 1. </w:t>
      </w:r>
      <w:bookmarkStart w:id="4" w:name="_Hlk524358386"/>
      <w:r w:rsidRPr="008F028F">
        <w:rPr>
          <w:rFonts w:ascii="Tw Cen MT" w:eastAsia="Tw Cen MT" w:hAnsi="Tw Cen MT" w:cs="Tw Cen MT"/>
          <w:b w:val="0"/>
          <w:bCs w:val="0"/>
          <w:sz w:val="18"/>
          <w:szCs w:val="18"/>
        </w:rPr>
        <w:t>Scheme of the</w:t>
      </w:r>
      <w:r w:rsidRPr="008F028F">
        <w:rPr>
          <w:rFonts w:eastAsia="Tw Cen MT" w:hAnsi="Tw Cen MT" w:cs="Tw Cen MT"/>
          <w:b w:val="0"/>
          <w:bCs w:val="0"/>
          <w:sz w:val="16"/>
          <w:szCs w:val="18"/>
        </w:rPr>
        <w:t xml:space="preserve"> hybrid nanocrystal, as a Trojan horse showing </w:t>
      </w:r>
      <w:r>
        <w:rPr>
          <w:rFonts w:eastAsia="Tw Cen MT" w:hAnsi="Tw Cen MT" w:cs="Tw Cen MT"/>
          <w:b w:val="0"/>
          <w:bCs w:val="0"/>
          <w:sz w:val="16"/>
          <w:szCs w:val="18"/>
        </w:rPr>
        <w:t>higher bio</w:t>
      </w:r>
      <w:r w:rsidR="008A194E">
        <w:rPr>
          <w:rFonts w:eastAsia="Tw Cen MT" w:hAnsi="Tw Cen MT" w:cs="Tw Cen MT"/>
          <w:b w:val="0"/>
          <w:bCs w:val="0"/>
          <w:sz w:val="16"/>
          <w:szCs w:val="18"/>
        </w:rPr>
        <w:t>-</w:t>
      </w:r>
      <w:r>
        <w:rPr>
          <w:rFonts w:eastAsia="Tw Cen MT" w:hAnsi="Tw Cen MT" w:cs="Tw Cen MT"/>
          <w:b w:val="0"/>
          <w:bCs w:val="0"/>
          <w:sz w:val="16"/>
          <w:szCs w:val="18"/>
        </w:rPr>
        <w:t xml:space="preserve"> and haemocompatibility, long-term stability in various biological and inorganic fluids, improved cell internalization with respect to pristine Zn</w:t>
      </w:r>
      <w:r w:rsidR="008A194E">
        <w:rPr>
          <w:rFonts w:eastAsia="Tw Cen MT" w:hAnsi="Tw Cen MT" w:cs="Tw Cen MT"/>
          <w:b w:val="0"/>
          <w:bCs w:val="0"/>
          <w:sz w:val="16"/>
          <w:szCs w:val="18"/>
        </w:rPr>
        <w:t>O</w:t>
      </w:r>
      <w:r>
        <w:rPr>
          <w:rFonts w:eastAsia="Tw Cen MT" w:hAnsi="Tw Cen MT" w:cs="Tw Cen MT"/>
          <w:b w:val="0"/>
          <w:bCs w:val="0"/>
          <w:sz w:val="16"/>
          <w:szCs w:val="18"/>
        </w:rPr>
        <w:t xml:space="preserve"> NCs. A stimuli responsive behavior, guided by UV-light is also reported.</w:t>
      </w:r>
    </w:p>
    <w:bookmarkEnd w:id="4"/>
    <w:p w:rsidR="007D3A55" w:rsidRDefault="007D3A55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1D466A" w:rsidRPr="00215EF8" w:rsidRDefault="001D466A" w:rsidP="00215EF8">
      <w:pPr>
        <w:ind w:left="284" w:hanging="284"/>
        <w:jc w:val="both"/>
        <w:rPr>
          <w:rFonts w:asciiTheme="minorHAnsi" w:hAnsiTheme="minorHAnsi" w:cstheme="minorHAnsi"/>
          <w:sz w:val="18"/>
          <w:szCs w:val="18"/>
        </w:rPr>
      </w:pPr>
      <w:bookmarkStart w:id="5" w:name="_Hlk524358417"/>
      <w:r w:rsidRPr="00215EF8">
        <w:rPr>
          <w:rFonts w:ascii="Verdana" w:hAnsi="Verdana"/>
          <w:sz w:val="18"/>
          <w:szCs w:val="18"/>
        </w:rPr>
        <w:t>1.</w:t>
      </w:r>
      <w:r w:rsidRPr="00215EF8">
        <w:rPr>
          <w:rFonts w:ascii="Verdana" w:hAnsi="Verdana"/>
          <w:sz w:val="18"/>
          <w:szCs w:val="18"/>
        </w:rPr>
        <w:t xml:space="preserve"> </w:t>
      </w:r>
      <w:r w:rsidR="00215EF8" w:rsidRPr="00215EF8">
        <w:rPr>
          <w:rFonts w:asciiTheme="minorHAnsi" w:hAnsiTheme="minorHAnsi" w:cstheme="minorHAnsi"/>
          <w:sz w:val="18"/>
          <w:szCs w:val="18"/>
        </w:rPr>
        <w:t>Racca L, Canta M, Dumontel B, Ancona A, Limongi T, Garino N, Laurenti M, Canavese G, Cauda V (</w:t>
      </w:r>
      <w:r w:rsidR="00215EF8" w:rsidRPr="00215EF8">
        <w:rPr>
          <w:rFonts w:asciiTheme="minorHAnsi" w:hAnsiTheme="minorHAnsi" w:cstheme="minorHAnsi"/>
          <w:sz w:val="18"/>
          <w:szCs w:val="18"/>
        </w:rPr>
        <w:t>2018</w:t>
      </w:r>
      <w:r w:rsidR="00215EF8" w:rsidRPr="00215EF8">
        <w:rPr>
          <w:rFonts w:asciiTheme="minorHAnsi" w:hAnsiTheme="minorHAnsi" w:cstheme="minorHAnsi"/>
          <w:sz w:val="18"/>
          <w:szCs w:val="18"/>
        </w:rPr>
        <w:t>) “Zinc oxide nanostructures in biomedicine” in Ciofani G Ed. “Smart Nanoparticles</w:t>
      </w:r>
      <w:r w:rsidR="00215EF8">
        <w:rPr>
          <w:rFonts w:asciiTheme="minorHAnsi" w:hAnsiTheme="minorHAnsi" w:cstheme="minorHAnsi"/>
          <w:sz w:val="18"/>
          <w:szCs w:val="18"/>
        </w:rPr>
        <w:t xml:space="preserve"> for Biomedicine”, Elsevier Inc</w:t>
      </w:r>
      <w:r w:rsidR="00215EF8" w:rsidRPr="00215EF8">
        <w:rPr>
          <w:rFonts w:asciiTheme="minorHAnsi" w:hAnsiTheme="minorHAnsi" w:cstheme="minorHAnsi"/>
          <w:sz w:val="18"/>
          <w:szCs w:val="18"/>
        </w:rPr>
        <w:t>, 171-187</w:t>
      </w:r>
      <w:r w:rsidR="00215EF8">
        <w:rPr>
          <w:rFonts w:asciiTheme="minorHAnsi" w:hAnsiTheme="minorHAnsi" w:cstheme="minorHAnsi"/>
          <w:sz w:val="18"/>
          <w:szCs w:val="18"/>
        </w:rPr>
        <w:t xml:space="preserve">, </w:t>
      </w:r>
      <w:r w:rsidR="00215EF8" w:rsidRPr="00215EF8">
        <w:rPr>
          <w:rFonts w:asciiTheme="minorHAnsi" w:hAnsiTheme="minorHAnsi" w:cstheme="minorHAnsi"/>
          <w:sz w:val="18"/>
          <w:szCs w:val="18"/>
        </w:rPr>
        <w:t>doi: 10.1016/B978-0-12-814156-4.00012-4</w:t>
      </w:r>
      <w:r w:rsidRPr="00215EF8">
        <w:rPr>
          <w:rFonts w:asciiTheme="minorHAnsi" w:hAnsiTheme="minorHAnsi" w:cstheme="minorHAnsi"/>
          <w:sz w:val="18"/>
          <w:szCs w:val="18"/>
        </w:rPr>
        <w:t>.</w:t>
      </w:r>
    </w:p>
    <w:p w:rsidR="001D466A" w:rsidRPr="008F028F" w:rsidRDefault="001D466A" w:rsidP="001D466A">
      <w:pPr>
        <w:jc w:val="both"/>
        <w:rPr>
          <w:rFonts w:asciiTheme="minorHAnsi" w:hAnsiTheme="minorHAnsi" w:cstheme="minorHAnsi"/>
          <w:sz w:val="18"/>
          <w:szCs w:val="18"/>
          <w:lang w:val="it-IT"/>
        </w:rPr>
      </w:pPr>
      <w:r w:rsidRPr="008F028F">
        <w:rPr>
          <w:rFonts w:asciiTheme="minorHAnsi" w:hAnsiTheme="minorHAnsi" w:cstheme="minorHAnsi"/>
          <w:sz w:val="18"/>
          <w:szCs w:val="18"/>
        </w:rPr>
        <w:t xml:space="preserve">2. </w:t>
      </w:r>
      <w:r w:rsidRPr="008F028F">
        <w:rPr>
          <w:rFonts w:asciiTheme="minorHAnsi" w:hAnsiTheme="minorHAnsi" w:cstheme="minorHAnsi"/>
          <w:sz w:val="18"/>
          <w:szCs w:val="18"/>
        </w:rPr>
        <w:t>Lim</w:t>
      </w:r>
      <w:r w:rsidRPr="008F028F">
        <w:rPr>
          <w:rFonts w:asciiTheme="minorHAnsi" w:hAnsiTheme="minorHAnsi" w:cstheme="minorHAnsi"/>
          <w:sz w:val="18"/>
          <w:szCs w:val="18"/>
        </w:rPr>
        <w:t xml:space="preserve"> E,</w:t>
      </w:r>
      <w:r w:rsidRPr="008F028F">
        <w:rPr>
          <w:rFonts w:asciiTheme="minorHAnsi" w:hAnsiTheme="minorHAnsi" w:cstheme="minorHAnsi"/>
          <w:sz w:val="18"/>
          <w:szCs w:val="18"/>
        </w:rPr>
        <w:t xml:space="preserve"> Kim</w:t>
      </w:r>
      <w:r w:rsidRPr="008F028F">
        <w:rPr>
          <w:rFonts w:asciiTheme="minorHAnsi" w:hAnsiTheme="minorHAnsi" w:cstheme="minorHAnsi"/>
          <w:sz w:val="18"/>
          <w:szCs w:val="18"/>
        </w:rPr>
        <w:t xml:space="preserve"> T</w:t>
      </w:r>
      <w:r w:rsidRPr="008F028F">
        <w:rPr>
          <w:rFonts w:asciiTheme="minorHAnsi" w:hAnsiTheme="minorHAnsi" w:cstheme="minorHAnsi"/>
          <w:sz w:val="18"/>
          <w:szCs w:val="18"/>
        </w:rPr>
        <w:t>, Paik</w:t>
      </w:r>
      <w:r w:rsidRPr="008F028F">
        <w:rPr>
          <w:rFonts w:asciiTheme="minorHAnsi" w:hAnsiTheme="minorHAnsi" w:cstheme="minorHAnsi"/>
          <w:sz w:val="18"/>
          <w:szCs w:val="18"/>
        </w:rPr>
        <w:t xml:space="preserve"> S</w:t>
      </w:r>
      <w:r w:rsidRPr="008F028F">
        <w:rPr>
          <w:rFonts w:asciiTheme="minorHAnsi" w:hAnsiTheme="minorHAnsi" w:cstheme="minorHAnsi"/>
          <w:sz w:val="18"/>
          <w:szCs w:val="18"/>
        </w:rPr>
        <w:t>, Haam</w:t>
      </w:r>
      <w:r w:rsidRPr="008F028F">
        <w:rPr>
          <w:rFonts w:asciiTheme="minorHAnsi" w:hAnsiTheme="minorHAnsi" w:cstheme="minorHAnsi"/>
          <w:sz w:val="18"/>
          <w:szCs w:val="18"/>
        </w:rPr>
        <w:t xml:space="preserve"> S</w:t>
      </w:r>
      <w:r w:rsidRPr="008F028F">
        <w:rPr>
          <w:rFonts w:asciiTheme="minorHAnsi" w:hAnsiTheme="minorHAnsi" w:cstheme="minorHAnsi"/>
          <w:sz w:val="18"/>
          <w:szCs w:val="18"/>
        </w:rPr>
        <w:t>, Huh</w:t>
      </w:r>
      <w:r w:rsidRPr="008F028F">
        <w:rPr>
          <w:rFonts w:asciiTheme="minorHAnsi" w:hAnsiTheme="minorHAnsi" w:cstheme="minorHAnsi"/>
          <w:sz w:val="18"/>
          <w:szCs w:val="18"/>
        </w:rPr>
        <w:t xml:space="preserve"> Y</w:t>
      </w:r>
      <w:r w:rsidRPr="008F028F">
        <w:rPr>
          <w:rFonts w:asciiTheme="minorHAnsi" w:hAnsiTheme="minorHAnsi" w:cstheme="minorHAnsi"/>
          <w:sz w:val="18"/>
          <w:szCs w:val="18"/>
        </w:rPr>
        <w:t>, Lee</w:t>
      </w:r>
      <w:r w:rsidRPr="008F028F">
        <w:rPr>
          <w:rFonts w:asciiTheme="minorHAnsi" w:hAnsiTheme="minorHAnsi" w:cstheme="minorHAnsi"/>
          <w:sz w:val="18"/>
          <w:szCs w:val="18"/>
        </w:rPr>
        <w:t xml:space="preserve"> K </w:t>
      </w:r>
      <w:r w:rsidRPr="008F028F">
        <w:rPr>
          <w:rFonts w:asciiTheme="minorHAnsi" w:hAnsiTheme="minorHAnsi" w:cstheme="minorHAnsi"/>
          <w:sz w:val="18"/>
          <w:szCs w:val="18"/>
          <w:lang w:val="en-GB"/>
        </w:rPr>
        <w:t>(2015)</w:t>
      </w:r>
      <w:r w:rsidRPr="008F028F">
        <w:rPr>
          <w:rFonts w:asciiTheme="minorHAnsi" w:hAnsiTheme="minorHAnsi" w:cstheme="minorHAnsi"/>
          <w:sz w:val="18"/>
          <w:szCs w:val="18"/>
        </w:rPr>
        <w:t xml:space="preserve">, </w:t>
      </w:r>
      <w:r w:rsidRPr="008F028F">
        <w:rPr>
          <w:rFonts w:asciiTheme="minorHAnsi" w:hAnsiTheme="minorHAnsi" w:cstheme="minorHAnsi"/>
          <w:i/>
          <w:sz w:val="18"/>
          <w:szCs w:val="18"/>
        </w:rPr>
        <w:t xml:space="preserve">Chem. </w:t>
      </w:r>
      <w:r w:rsidRPr="008F028F">
        <w:rPr>
          <w:rFonts w:asciiTheme="minorHAnsi" w:hAnsiTheme="minorHAnsi" w:cstheme="minorHAnsi"/>
          <w:i/>
          <w:sz w:val="18"/>
          <w:szCs w:val="18"/>
          <w:lang w:val="it-IT"/>
        </w:rPr>
        <w:t>Rev.</w:t>
      </w:r>
      <w:r w:rsidRPr="008F028F">
        <w:rPr>
          <w:rFonts w:asciiTheme="minorHAnsi" w:hAnsiTheme="minorHAnsi" w:cstheme="minorHAnsi"/>
          <w:sz w:val="18"/>
          <w:szCs w:val="18"/>
          <w:lang w:val="it-IT"/>
        </w:rPr>
        <w:t xml:space="preserve"> 115</w:t>
      </w:r>
      <w:r w:rsidRPr="008F028F">
        <w:rPr>
          <w:rFonts w:asciiTheme="minorHAnsi" w:hAnsiTheme="minorHAnsi" w:cstheme="minorHAnsi"/>
          <w:sz w:val="18"/>
          <w:szCs w:val="18"/>
          <w:lang w:val="it-IT"/>
        </w:rPr>
        <w:t>:</w:t>
      </w:r>
      <w:r w:rsidRPr="008F028F">
        <w:rPr>
          <w:rFonts w:asciiTheme="minorHAnsi" w:hAnsiTheme="minorHAnsi" w:cstheme="minorHAnsi"/>
          <w:sz w:val="18"/>
          <w:szCs w:val="18"/>
          <w:lang w:val="it-IT"/>
        </w:rPr>
        <w:t>327−394.</w:t>
      </w:r>
    </w:p>
    <w:p w:rsidR="001D466A" w:rsidRDefault="001D466A" w:rsidP="00215EF8">
      <w:pPr>
        <w:autoSpaceDE w:val="0"/>
        <w:autoSpaceDN w:val="0"/>
        <w:adjustRightInd w:val="0"/>
        <w:ind w:left="142" w:hanging="142"/>
        <w:rPr>
          <w:rFonts w:asciiTheme="minorHAnsi" w:hAnsiTheme="minorHAnsi" w:cstheme="minorHAnsi"/>
          <w:sz w:val="18"/>
          <w:szCs w:val="18"/>
        </w:rPr>
      </w:pPr>
      <w:r w:rsidRPr="00215EF8">
        <w:rPr>
          <w:rFonts w:asciiTheme="minorHAnsi" w:hAnsiTheme="minorHAnsi" w:cstheme="minorHAnsi"/>
          <w:sz w:val="18"/>
          <w:szCs w:val="18"/>
          <w:lang w:val="en-GB"/>
        </w:rPr>
        <w:t>3.</w:t>
      </w:r>
      <w:r w:rsidRPr="00215EF8">
        <w:rPr>
          <w:rFonts w:asciiTheme="minorHAnsi" w:hAnsiTheme="minorHAnsi" w:cstheme="minorHAnsi"/>
          <w:sz w:val="18"/>
          <w:szCs w:val="18"/>
          <w:lang w:val="en-GB"/>
        </w:rPr>
        <w:t xml:space="preserve"> Dumontel</w:t>
      </w:r>
      <w:r w:rsidRPr="00215EF8">
        <w:rPr>
          <w:rFonts w:asciiTheme="minorHAnsi" w:hAnsiTheme="minorHAnsi" w:cstheme="minorHAnsi"/>
          <w:sz w:val="18"/>
          <w:szCs w:val="18"/>
          <w:lang w:val="en-GB"/>
        </w:rPr>
        <w:t xml:space="preserve"> B</w:t>
      </w:r>
      <w:r w:rsidRPr="00215EF8">
        <w:rPr>
          <w:rFonts w:asciiTheme="minorHAnsi" w:hAnsiTheme="minorHAnsi" w:cstheme="minorHAnsi"/>
          <w:sz w:val="18"/>
          <w:szCs w:val="18"/>
          <w:lang w:val="en-GB"/>
        </w:rPr>
        <w:t>, Canta</w:t>
      </w:r>
      <w:r w:rsidRPr="00215EF8">
        <w:rPr>
          <w:rFonts w:asciiTheme="minorHAnsi" w:hAnsiTheme="minorHAnsi" w:cstheme="minorHAnsi"/>
          <w:sz w:val="18"/>
          <w:szCs w:val="18"/>
          <w:lang w:val="en-GB"/>
        </w:rPr>
        <w:t xml:space="preserve"> M</w:t>
      </w:r>
      <w:r w:rsidRPr="00215EF8">
        <w:rPr>
          <w:rFonts w:asciiTheme="minorHAnsi" w:hAnsiTheme="minorHAnsi" w:cstheme="minorHAnsi"/>
          <w:sz w:val="18"/>
          <w:szCs w:val="18"/>
          <w:lang w:val="en-GB"/>
        </w:rPr>
        <w:t>, Engelke</w:t>
      </w:r>
      <w:r w:rsidRPr="00215EF8">
        <w:rPr>
          <w:rFonts w:asciiTheme="minorHAnsi" w:hAnsiTheme="minorHAnsi" w:cstheme="minorHAnsi"/>
          <w:sz w:val="18"/>
          <w:szCs w:val="18"/>
          <w:lang w:val="en-GB"/>
        </w:rPr>
        <w:t xml:space="preserve"> H</w:t>
      </w:r>
      <w:r w:rsidRPr="00215EF8">
        <w:rPr>
          <w:rFonts w:asciiTheme="minorHAnsi" w:hAnsiTheme="minorHAnsi" w:cstheme="minorHAnsi"/>
          <w:sz w:val="18"/>
          <w:szCs w:val="18"/>
          <w:lang w:val="en-GB"/>
        </w:rPr>
        <w:t>, Chiodoni</w:t>
      </w:r>
      <w:r w:rsidRPr="00215EF8">
        <w:rPr>
          <w:rFonts w:asciiTheme="minorHAnsi" w:hAnsiTheme="minorHAnsi" w:cstheme="minorHAnsi"/>
          <w:sz w:val="18"/>
          <w:szCs w:val="18"/>
          <w:lang w:val="en-GB"/>
        </w:rPr>
        <w:t xml:space="preserve"> A</w:t>
      </w:r>
      <w:r w:rsidRPr="00215EF8">
        <w:rPr>
          <w:rFonts w:asciiTheme="minorHAnsi" w:hAnsiTheme="minorHAnsi" w:cstheme="minorHAnsi"/>
          <w:sz w:val="18"/>
          <w:szCs w:val="18"/>
          <w:lang w:val="en-GB"/>
        </w:rPr>
        <w:t>, Racca</w:t>
      </w:r>
      <w:r w:rsidRPr="00215EF8">
        <w:rPr>
          <w:rFonts w:asciiTheme="minorHAnsi" w:hAnsiTheme="minorHAnsi" w:cstheme="minorHAnsi"/>
          <w:sz w:val="18"/>
          <w:szCs w:val="18"/>
          <w:lang w:val="en-GB"/>
        </w:rPr>
        <w:t xml:space="preserve"> L</w:t>
      </w:r>
      <w:r w:rsidRPr="00215EF8">
        <w:rPr>
          <w:rFonts w:asciiTheme="minorHAnsi" w:hAnsiTheme="minorHAnsi" w:cstheme="minorHAnsi"/>
          <w:sz w:val="18"/>
          <w:szCs w:val="18"/>
          <w:lang w:val="en-GB"/>
        </w:rPr>
        <w:t>, Ancona</w:t>
      </w:r>
      <w:r w:rsidRPr="00215EF8">
        <w:rPr>
          <w:rFonts w:asciiTheme="minorHAnsi" w:hAnsiTheme="minorHAnsi" w:cstheme="minorHAnsi"/>
          <w:sz w:val="18"/>
          <w:szCs w:val="18"/>
          <w:lang w:val="en-GB"/>
        </w:rPr>
        <w:t xml:space="preserve"> A</w:t>
      </w:r>
      <w:r w:rsidRPr="00215EF8">
        <w:rPr>
          <w:rFonts w:asciiTheme="minorHAnsi" w:hAnsiTheme="minorHAnsi" w:cstheme="minorHAnsi"/>
          <w:sz w:val="18"/>
          <w:szCs w:val="18"/>
          <w:lang w:val="en-GB"/>
        </w:rPr>
        <w:t>, Limongi</w:t>
      </w:r>
      <w:r w:rsidRPr="00215EF8">
        <w:rPr>
          <w:rFonts w:asciiTheme="minorHAnsi" w:hAnsiTheme="minorHAnsi" w:cstheme="minorHAnsi"/>
          <w:sz w:val="18"/>
          <w:szCs w:val="18"/>
          <w:lang w:val="en-GB"/>
        </w:rPr>
        <w:t xml:space="preserve"> T</w:t>
      </w:r>
      <w:r w:rsidRPr="00215EF8">
        <w:rPr>
          <w:rFonts w:asciiTheme="minorHAnsi" w:hAnsiTheme="minorHAnsi" w:cstheme="minorHAnsi"/>
          <w:sz w:val="18"/>
          <w:szCs w:val="18"/>
          <w:lang w:val="en-GB"/>
        </w:rPr>
        <w:t xml:space="preserve">, Canavese </w:t>
      </w:r>
      <w:r w:rsidRPr="00215EF8">
        <w:rPr>
          <w:rFonts w:asciiTheme="minorHAnsi" w:hAnsiTheme="minorHAnsi" w:cstheme="minorHAnsi"/>
          <w:sz w:val="18"/>
          <w:szCs w:val="18"/>
          <w:lang w:val="en-GB"/>
        </w:rPr>
        <w:t xml:space="preserve">G, </w:t>
      </w:r>
      <w:r w:rsidRPr="00215EF8">
        <w:rPr>
          <w:rFonts w:asciiTheme="minorHAnsi" w:hAnsiTheme="minorHAnsi" w:cstheme="minorHAnsi"/>
          <w:sz w:val="18"/>
          <w:szCs w:val="18"/>
          <w:lang w:val="en-GB"/>
        </w:rPr>
        <w:t>Cauda</w:t>
      </w:r>
      <w:r w:rsidRPr="00215EF8">
        <w:rPr>
          <w:rFonts w:asciiTheme="minorHAnsi" w:hAnsiTheme="minorHAnsi" w:cstheme="minorHAnsi"/>
          <w:sz w:val="18"/>
          <w:szCs w:val="18"/>
          <w:lang w:val="en-GB"/>
        </w:rPr>
        <w:t xml:space="preserve"> V</w:t>
      </w:r>
      <w:r w:rsidR="00215EF8" w:rsidRPr="00215EF8">
        <w:rPr>
          <w:rFonts w:asciiTheme="minorHAnsi" w:hAnsiTheme="minorHAnsi" w:cstheme="minorHAnsi"/>
          <w:sz w:val="18"/>
          <w:szCs w:val="18"/>
          <w:lang w:val="en-GB"/>
        </w:rPr>
        <w:t xml:space="preserve"> (2017)</w:t>
      </w:r>
      <w:r w:rsidRPr="00215EF8">
        <w:rPr>
          <w:rFonts w:asciiTheme="minorHAnsi" w:hAnsiTheme="minorHAnsi" w:cstheme="minorHAnsi"/>
          <w:sz w:val="18"/>
          <w:szCs w:val="18"/>
          <w:lang w:val="en-GB"/>
        </w:rPr>
        <w:t xml:space="preserve"> </w:t>
      </w:r>
      <w:r w:rsidR="00215EF8" w:rsidRPr="00215EF8">
        <w:rPr>
          <w:rFonts w:asciiTheme="minorHAnsi" w:hAnsiTheme="minorHAnsi" w:cstheme="minorHAnsi"/>
          <w:sz w:val="18"/>
          <w:szCs w:val="18"/>
          <w:lang w:val="en-GB"/>
        </w:rPr>
        <w:t>Enhanced Biostability and Cellular Uptake of Zinc Oxide Nanocrystals Shielded with Phospholipid Bilayer</w:t>
      </w:r>
      <w:r w:rsidR="00215EF8">
        <w:rPr>
          <w:rFonts w:asciiTheme="minorHAnsi" w:hAnsiTheme="minorHAnsi" w:cstheme="minorHAnsi"/>
          <w:sz w:val="18"/>
          <w:szCs w:val="18"/>
          <w:lang w:val="en-GB"/>
        </w:rPr>
        <w:t xml:space="preserve">. </w:t>
      </w:r>
      <w:r w:rsidR="00D45DB1">
        <w:rPr>
          <w:rFonts w:asciiTheme="minorHAnsi" w:hAnsiTheme="minorHAnsi" w:cstheme="minorHAnsi"/>
          <w:sz w:val="18"/>
          <w:szCs w:val="18"/>
          <w:lang w:val="en-GB"/>
        </w:rPr>
        <w:t>Journal o</w:t>
      </w:r>
      <w:r w:rsidR="00215EF8" w:rsidRPr="00215EF8">
        <w:rPr>
          <w:rFonts w:asciiTheme="minorHAnsi" w:hAnsiTheme="minorHAnsi" w:cstheme="minorHAnsi"/>
          <w:sz w:val="18"/>
          <w:szCs w:val="18"/>
          <w:lang w:val="en-GB"/>
        </w:rPr>
        <w:t xml:space="preserve">f Materials Chemistry </w:t>
      </w:r>
      <w:r w:rsidR="00215EF8">
        <w:rPr>
          <w:rFonts w:asciiTheme="minorHAnsi" w:hAnsiTheme="minorHAnsi" w:cstheme="minorHAnsi"/>
          <w:sz w:val="18"/>
          <w:szCs w:val="18"/>
          <w:lang w:val="en-GB"/>
        </w:rPr>
        <w:t xml:space="preserve">B, </w:t>
      </w:r>
      <w:r w:rsidR="00215EF8" w:rsidRPr="00215EF8">
        <w:rPr>
          <w:rFonts w:asciiTheme="minorHAnsi" w:hAnsiTheme="minorHAnsi" w:cstheme="minorHAnsi"/>
          <w:sz w:val="18"/>
          <w:szCs w:val="18"/>
          <w:lang w:val="en-GB"/>
        </w:rPr>
        <w:t>5</w:t>
      </w:r>
      <w:r w:rsidR="00215EF8">
        <w:rPr>
          <w:rFonts w:asciiTheme="minorHAnsi" w:hAnsiTheme="minorHAnsi" w:cstheme="minorHAnsi"/>
          <w:sz w:val="18"/>
          <w:szCs w:val="18"/>
          <w:lang w:val="en-GB"/>
        </w:rPr>
        <w:t>:8799-</w:t>
      </w:r>
      <w:r w:rsidR="00215EF8" w:rsidRPr="00215EF8">
        <w:rPr>
          <w:rFonts w:asciiTheme="minorHAnsi" w:hAnsiTheme="minorHAnsi" w:cstheme="minorHAnsi"/>
          <w:sz w:val="18"/>
          <w:szCs w:val="18"/>
          <w:lang w:val="en-GB"/>
        </w:rPr>
        <w:t>8813</w:t>
      </w:r>
      <w:r w:rsidR="00215EF8">
        <w:rPr>
          <w:rFonts w:asciiTheme="minorHAnsi" w:hAnsiTheme="minorHAnsi" w:cstheme="minorHAnsi"/>
          <w:sz w:val="18"/>
          <w:szCs w:val="18"/>
          <w:lang w:val="en-GB"/>
        </w:rPr>
        <w:t>.</w:t>
      </w:r>
    </w:p>
    <w:p w:rsidR="00215EF8" w:rsidRPr="00215EF8" w:rsidRDefault="00215EF8" w:rsidP="00215EF8">
      <w:pPr>
        <w:autoSpaceDE w:val="0"/>
        <w:autoSpaceDN w:val="0"/>
        <w:adjustRightInd w:val="0"/>
        <w:ind w:left="142" w:hanging="142"/>
        <w:rPr>
          <w:rFonts w:asciiTheme="minorHAnsi" w:hAnsiTheme="minorHAnsi" w:cstheme="minorHAnsi"/>
          <w:sz w:val="18"/>
          <w:szCs w:val="18"/>
          <w:lang w:val="en-GB"/>
        </w:rPr>
      </w:pPr>
      <w:r w:rsidRPr="00215EF8">
        <w:rPr>
          <w:rFonts w:asciiTheme="minorHAnsi" w:hAnsiTheme="minorHAnsi" w:cstheme="minorHAnsi"/>
          <w:sz w:val="18"/>
          <w:szCs w:val="18"/>
          <w:lang w:val="en-GB"/>
        </w:rPr>
        <w:t xml:space="preserve">4. Ancona A, Dumontel B, Garino N, Demarco B, Chatzitheodoridou D, Fazzini W, Engelke H, Cauda V, </w:t>
      </w:r>
      <w:r>
        <w:rPr>
          <w:rFonts w:asciiTheme="minorHAnsi" w:hAnsiTheme="minorHAnsi" w:cstheme="minorHAnsi"/>
          <w:sz w:val="18"/>
          <w:szCs w:val="18"/>
          <w:lang w:val="en-GB"/>
        </w:rPr>
        <w:t xml:space="preserve">(2018) </w:t>
      </w:r>
      <w:r w:rsidRPr="00215EF8">
        <w:rPr>
          <w:rFonts w:asciiTheme="minorHAnsi" w:hAnsiTheme="minorHAnsi" w:cstheme="minorHAnsi"/>
          <w:sz w:val="18"/>
          <w:szCs w:val="18"/>
          <w:lang w:val="en-GB"/>
        </w:rPr>
        <w:t>Lipid-Coated Zinc Oxide Nanoparticles as Innovative ROS-Generators for Photodynamic Therapy in Cancer Cells</w:t>
      </w:r>
      <w:r>
        <w:rPr>
          <w:rFonts w:asciiTheme="minorHAnsi" w:hAnsiTheme="minorHAnsi" w:cstheme="minorHAnsi"/>
          <w:sz w:val="18"/>
          <w:szCs w:val="18"/>
          <w:lang w:val="en-GB"/>
        </w:rPr>
        <w:t>.</w:t>
      </w:r>
      <w:r w:rsidRPr="00215EF8">
        <w:rPr>
          <w:rFonts w:asciiTheme="minorHAnsi" w:hAnsiTheme="minorHAnsi" w:cstheme="minorHAnsi"/>
          <w:sz w:val="18"/>
          <w:szCs w:val="18"/>
          <w:lang w:val="en-GB"/>
        </w:rPr>
        <w:t xml:space="preserve"> Nanomaterials </w:t>
      </w:r>
      <w:r>
        <w:rPr>
          <w:rFonts w:asciiTheme="minorHAnsi" w:hAnsiTheme="minorHAnsi" w:cstheme="minorHAnsi"/>
          <w:sz w:val="18"/>
          <w:szCs w:val="18"/>
          <w:lang w:val="en-GB"/>
        </w:rPr>
        <w:t>8 (143):</w:t>
      </w:r>
      <w:r w:rsidRPr="00215EF8">
        <w:rPr>
          <w:rFonts w:asciiTheme="minorHAnsi" w:hAnsiTheme="minorHAnsi" w:cstheme="minorHAnsi"/>
          <w:sz w:val="18"/>
          <w:szCs w:val="18"/>
          <w:lang w:val="en-GB"/>
        </w:rPr>
        <w:t>1-15</w:t>
      </w:r>
    </w:p>
    <w:bookmarkEnd w:id="5"/>
    <w:p w:rsidR="00AE3E37" w:rsidRDefault="008756E6" w:rsidP="00215EF8">
      <w:pPr>
        <w:jc w:val="both"/>
        <w:rPr>
          <w:rFonts w:ascii="Calibri"/>
          <w:sz w:val="20"/>
        </w:rPr>
      </w:pPr>
      <w:r>
        <w:rPr>
          <w:rFonts w:ascii="Calibri" w:hAnsi="Calibri"/>
        </w:rPr>
        <w:t xml:space="preserve">   </w:t>
      </w:r>
    </w:p>
    <w:p w:rsidR="00AE3E37" w:rsidRDefault="00292ED9">
      <w:pPr>
        <w:pStyle w:val="Corpotesto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3AB6168D" wp14:editId="768C02C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A7CD2AE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A194E" w:rsidP="00404E5B">
      <w:pPr>
        <w:spacing w:before="92"/>
        <w:ind w:right="4234"/>
        <w:rPr>
          <w:rFonts w:ascii="Arial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7D62FBA2">
            <wp:simplePos x="0" y="0"/>
            <wp:positionH relativeFrom="column">
              <wp:posOffset>34290</wp:posOffset>
            </wp:positionH>
            <wp:positionV relativeFrom="paragraph">
              <wp:posOffset>62230</wp:posOffset>
            </wp:positionV>
            <wp:extent cx="728980" cy="1040765"/>
            <wp:effectExtent l="0" t="0" r="0" b="6985"/>
            <wp:wrapSquare wrapText="bothSides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Valentina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8980" cy="1040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56E6">
        <w:rPr>
          <w:noProof/>
        </w:rPr>
        <w:t xml:space="preserve">         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D45DB1" w:rsidRDefault="00D45DB1" w:rsidP="00D45DB1">
      <w:pPr>
        <w:spacing w:before="62"/>
        <w:ind w:right="-83"/>
        <w:jc w:val="both"/>
        <w:rPr>
          <w:rFonts w:ascii="Arial"/>
          <w:sz w:val="14"/>
        </w:rPr>
      </w:pPr>
      <w:r w:rsidRPr="00D45DB1">
        <w:rPr>
          <w:rFonts w:ascii="Arial"/>
          <w:sz w:val="14"/>
          <w:lang w:val="it-IT"/>
        </w:rPr>
        <w:t xml:space="preserve">Valentina Cauda is Associate Professor at the Politecnico di Torino, Italy. </w:t>
      </w:r>
      <w:r w:rsidRPr="00D45DB1">
        <w:rPr>
          <w:rFonts w:ascii="Arial"/>
          <w:sz w:val="14"/>
        </w:rPr>
        <w:t xml:space="preserve">She received her Ph.D. </w:t>
      </w:r>
      <w:r>
        <w:rPr>
          <w:rFonts w:ascii="Arial"/>
          <w:sz w:val="14"/>
        </w:rPr>
        <w:t>i</w:t>
      </w:r>
      <w:r w:rsidRPr="00D45DB1">
        <w:rPr>
          <w:rFonts w:ascii="Arial"/>
          <w:sz w:val="14"/>
        </w:rPr>
        <w:t>n Material Science and Technology in 2008 from the same university and graduated in Chemical Engineering in 2004. In 2006 she worked as visiting PhD student at the Universid</w:t>
      </w:r>
      <w:r>
        <w:rPr>
          <w:rFonts w:ascii="Arial"/>
          <w:sz w:val="14"/>
        </w:rPr>
        <w:t>ad Complutense (Madrid, Spain).</w:t>
      </w:r>
      <w:r w:rsidRPr="00D45DB1">
        <w:rPr>
          <w:rFonts w:ascii="Arial"/>
          <w:sz w:val="14"/>
        </w:rPr>
        <w:t xml:space="preserve"> From 2008 to 2010, she worked as Post-Doc at the University of Munich, Germany. From 2010 to 2015 she was Senior Post-Doc at the Istituto Italiano di Tecnologia </w:t>
      </w:r>
      <w:r>
        <w:rPr>
          <w:rFonts w:ascii="Arial"/>
          <w:sz w:val="14"/>
        </w:rPr>
        <w:t>(</w:t>
      </w:r>
      <w:r w:rsidRPr="00D45DB1">
        <w:rPr>
          <w:rFonts w:ascii="Arial"/>
          <w:sz w:val="14"/>
        </w:rPr>
        <w:t>Italy</w:t>
      </w:r>
      <w:r>
        <w:rPr>
          <w:rFonts w:ascii="Arial"/>
          <w:sz w:val="14"/>
        </w:rPr>
        <w:t>)</w:t>
      </w:r>
      <w:r w:rsidRPr="00D45DB1">
        <w:rPr>
          <w:rFonts w:ascii="Arial"/>
          <w:sz w:val="14"/>
        </w:rPr>
        <w:t xml:space="preserve">. For her research results she received in 2010 the prize for young researchers at the University of Munich, in 2013 she got the </w:t>
      </w:r>
      <w:r>
        <w:rPr>
          <w:rFonts w:ascii="Arial"/>
          <w:sz w:val="14"/>
        </w:rPr>
        <w:t xml:space="preserve">Italian </w:t>
      </w:r>
      <w:r>
        <w:rPr>
          <w:rFonts w:ascii="Arial"/>
          <w:sz w:val="14"/>
        </w:rPr>
        <w:t>“</w:t>
      </w:r>
      <w:r w:rsidRPr="00D45DB1">
        <w:rPr>
          <w:rFonts w:ascii="Arial"/>
          <w:sz w:val="14"/>
        </w:rPr>
        <w:t>Gioved</w:t>
      </w:r>
      <w:r w:rsidRPr="00D45DB1">
        <w:rPr>
          <w:rFonts w:ascii="Arial"/>
          <w:sz w:val="14"/>
        </w:rPr>
        <w:t>ì</w:t>
      </w:r>
      <w:r w:rsidRPr="00D45DB1">
        <w:rPr>
          <w:rFonts w:ascii="Arial"/>
          <w:sz w:val="14"/>
        </w:rPr>
        <w:t xml:space="preserve"> Scienza</w:t>
      </w:r>
      <w:r>
        <w:rPr>
          <w:rFonts w:ascii="Arial"/>
          <w:sz w:val="14"/>
        </w:rPr>
        <w:t>”</w:t>
      </w:r>
      <w:r w:rsidRPr="00D45DB1">
        <w:rPr>
          <w:rFonts w:ascii="Arial"/>
          <w:sz w:val="14"/>
        </w:rPr>
        <w:t xml:space="preserve"> award, in 2015 the Zonta Prize for Chemistry, and in 2017 the USERN Prize for Biological Sciences.</w:t>
      </w:r>
      <w:r>
        <w:rPr>
          <w:rFonts w:ascii="Arial"/>
          <w:sz w:val="14"/>
        </w:rPr>
        <w:t xml:space="preserve"> </w:t>
      </w:r>
      <w:r w:rsidRPr="00D45DB1">
        <w:rPr>
          <w:rFonts w:ascii="Arial"/>
          <w:sz w:val="14"/>
        </w:rPr>
        <w:t xml:space="preserve">In 2016 she was awarded by the European Research Council with an ERC Starting Grant. She is author of </w:t>
      </w:r>
      <w:r>
        <w:rPr>
          <w:rFonts w:ascii="Arial"/>
          <w:sz w:val="14"/>
        </w:rPr>
        <w:t>84</w:t>
      </w:r>
      <w:r w:rsidRPr="00D45DB1">
        <w:rPr>
          <w:rFonts w:ascii="Arial"/>
          <w:sz w:val="14"/>
        </w:rPr>
        <w:t xml:space="preserve"> papers on peer-reviewed international journals with H-index of 2</w:t>
      </w:r>
      <w:r>
        <w:rPr>
          <w:rFonts w:ascii="Arial"/>
          <w:sz w:val="14"/>
        </w:rPr>
        <w:t>8</w:t>
      </w:r>
      <w:r w:rsidRPr="00D45DB1">
        <w:rPr>
          <w:rFonts w:ascii="Arial"/>
          <w:sz w:val="14"/>
        </w:rPr>
        <w:t xml:space="preserve"> (Source: Scopus accessed on </w:t>
      </w:r>
      <w:r>
        <w:rPr>
          <w:rFonts w:ascii="Arial"/>
          <w:sz w:val="14"/>
        </w:rPr>
        <w:t>September</w:t>
      </w:r>
      <w:r w:rsidRPr="00D45DB1">
        <w:rPr>
          <w:rFonts w:ascii="Arial"/>
          <w:sz w:val="14"/>
        </w:rPr>
        <w:t xml:space="preserve"> 201</w:t>
      </w:r>
      <w:r>
        <w:rPr>
          <w:rFonts w:ascii="Arial"/>
          <w:sz w:val="14"/>
        </w:rPr>
        <w:t>8</w:t>
      </w:r>
      <w:r w:rsidRPr="00D45DB1">
        <w:rPr>
          <w:rFonts w:ascii="Arial"/>
          <w:sz w:val="14"/>
        </w:rPr>
        <w:t>).</w:t>
      </w:r>
    </w:p>
    <w:p w:rsidR="00AE3E37" w:rsidRDefault="00A9710C" w:rsidP="00D45DB1">
      <w:pPr>
        <w:spacing w:before="62"/>
        <w:ind w:right="-83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D45DB1" w:rsidRPr="001C6173">
          <w:rPr>
            <w:rStyle w:val="Collegamentoipertestuale"/>
            <w:rFonts w:ascii="Arial"/>
            <w:sz w:val="14"/>
          </w:rPr>
          <w:t>valentina.cauda@polito.it</w:t>
        </w:r>
      </w:hyperlink>
    </w:p>
    <w:p w:rsidR="00AE3E37" w:rsidRDefault="00292ED9" w:rsidP="00215EF8">
      <w:pPr>
        <w:pStyle w:val="Corpotesto"/>
        <w:spacing w:before="2"/>
        <w:rPr>
          <w:rFonts w:ascii="Arial"/>
          <w:sz w:val="20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51072" behindDoc="0" locked="0" layoutInCell="1" allowOverlap="1" wp14:anchorId="366E5359" wp14:editId="4180529A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DA456C" id="Line 3" o:spid="_x0000_s1026" style="position:absolute;z-index: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Corpotesto"/>
        <w:rPr>
          <w:rFonts w:ascii="Arial"/>
          <w:sz w:val="20"/>
        </w:rPr>
      </w:pPr>
    </w:p>
    <w:p w:rsidR="00AE3E37" w:rsidRPr="00B21A57" w:rsidRDefault="00A9710C" w:rsidP="00D45DB1">
      <w:pPr>
        <w:spacing w:before="39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lastRenderedPageBreak/>
        <w:t>Notes/Comments:</w:t>
      </w:r>
    </w:p>
    <w:p w:rsidR="00AE3E37" w:rsidRDefault="00AE3E37">
      <w:pPr>
        <w:rPr>
          <w:rFonts w:ascii="Minion Pro"/>
          <w:sz w:val="24"/>
        </w:rPr>
        <w:sectPr w:rsidR="00AE3E37" w:rsidSect="007D3A55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Pr="00D45DB1" w:rsidRDefault="00D45DB1">
      <w:pPr>
        <w:pStyle w:val="Corpotesto"/>
        <w:spacing w:before="3"/>
        <w:rPr>
          <w:rFonts w:asciiTheme="minorHAnsi" w:hAnsiTheme="minorHAnsi" w:cstheme="minorHAnsi"/>
          <w:lang w:val="en-GB"/>
        </w:rPr>
      </w:pPr>
      <w:r w:rsidRPr="00D45DB1">
        <w:rPr>
          <w:rFonts w:asciiTheme="minorHAnsi" w:hAnsiTheme="minorHAnsi" w:cstheme="minorHAnsi"/>
          <w:lang w:val="en-GB"/>
        </w:rPr>
        <w:t>T</w:t>
      </w:r>
      <w:r w:rsidRPr="00D45DB1">
        <w:rPr>
          <w:rFonts w:asciiTheme="minorHAnsi" w:hAnsiTheme="minorHAnsi" w:cstheme="minorHAnsi"/>
          <w:lang w:val="en-GB"/>
        </w:rPr>
        <w:t>his work has received funding from the European Research Council (ERC) under the European Union’s Horizon 2020 research and innovation programme (grant agreement No 678151 – Project Acronym “TROJANANOHORSE” – ERC starting Grant)</w:t>
      </w:r>
      <w:r w:rsidRPr="00D45DB1">
        <w:rPr>
          <w:rFonts w:asciiTheme="minorHAnsi" w:hAnsiTheme="minorHAnsi" w:cstheme="minorHAnsi"/>
          <w:lang w:val="en-GB"/>
        </w:rPr>
        <w:t xml:space="preserve"> and from</w:t>
      </w:r>
      <w:r w:rsidR="00215EF8" w:rsidRPr="00D45DB1">
        <w:rPr>
          <w:rFonts w:asciiTheme="minorHAnsi" w:hAnsiTheme="minorHAnsi" w:cstheme="minorHAnsi"/>
          <w:lang w:val="en-GB"/>
        </w:rPr>
        <w:t xml:space="preserve"> Com</w:t>
      </w:r>
      <w:r w:rsidRPr="00D45DB1">
        <w:rPr>
          <w:rFonts w:asciiTheme="minorHAnsi" w:hAnsiTheme="minorHAnsi" w:cstheme="minorHAnsi"/>
          <w:lang w:val="en-GB"/>
        </w:rPr>
        <w:t>pagnia di Sanpaolo.</w:t>
      </w:r>
    </w:p>
    <w:sectPr w:rsidR="00AE3E37" w:rsidRPr="00D45DB1" w:rsidSect="007D3A55">
      <w:type w:val="continuous"/>
      <w:pgSz w:w="11910" w:h="16840"/>
      <w:pgMar w:top="1740" w:right="58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41CD" w:rsidRDefault="008B41CD">
      <w:r>
        <w:separator/>
      </w:r>
    </w:p>
  </w:endnote>
  <w:endnote w:type="continuationSeparator" w:id="0">
    <w:p w:rsidR="008B41CD" w:rsidRDefault="008B4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Corpotesto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17111E0" wp14:editId="19C7BF67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7111E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1F06A42B" wp14:editId="5CD4BF9D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F06A42B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8C7DA80" wp14:editId="561652FD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8C7DA80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41CD" w:rsidRDefault="008B41CD">
      <w:r>
        <w:separator/>
      </w:r>
    </w:p>
  </w:footnote>
  <w:footnote w:type="continuationSeparator" w:id="0">
    <w:p w:rsidR="008B41CD" w:rsidRDefault="008B41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Corpotesto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2A302EE3" wp14:editId="158382D9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r w:rsidRPr="00354503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Furuta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302EE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r w:rsidRPr="00354503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713F8423" wp14:editId="2CBD3398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Corpotesto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13F8423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Corpotesto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c2NDc3MDYzszS0NLVU0lEKTi0uzszPAykwrAUAVQngfCwAAAA="/>
  </w:docVars>
  <w:rsids>
    <w:rsidRoot w:val="00AE3E37"/>
    <w:rsid w:val="000E2911"/>
    <w:rsid w:val="001263DF"/>
    <w:rsid w:val="00163313"/>
    <w:rsid w:val="001D466A"/>
    <w:rsid w:val="001E752F"/>
    <w:rsid w:val="00215EF8"/>
    <w:rsid w:val="0023086C"/>
    <w:rsid w:val="00272D2B"/>
    <w:rsid w:val="00292ED9"/>
    <w:rsid w:val="002A7076"/>
    <w:rsid w:val="002B48AC"/>
    <w:rsid w:val="00313B58"/>
    <w:rsid w:val="00354503"/>
    <w:rsid w:val="00404E5B"/>
    <w:rsid w:val="00414F7B"/>
    <w:rsid w:val="004355DC"/>
    <w:rsid w:val="004749B4"/>
    <w:rsid w:val="00494130"/>
    <w:rsid w:val="004F3523"/>
    <w:rsid w:val="00593D5F"/>
    <w:rsid w:val="005973B9"/>
    <w:rsid w:val="005B3A56"/>
    <w:rsid w:val="006060CE"/>
    <w:rsid w:val="0063497F"/>
    <w:rsid w:val="00716033"/>
    <w:rsid w:val="00754DC1"/>
    <w:rsid w:val="00770E30"/>
    <w:rsid w:val="007D3A55"/>
    <w:rsid w:val="00873DF0"/>
    <w:rsid w:val="008756E6"/>
    <w:rsid w:val="008A194E"/>
    <w:rsid w:val="008B41CD"/>
    <w:rsid w:val="008F028F"/>
    <w:rsid w:val="00956088"/>
    <w:rsid w:val="009560E6"/>
    <w:rsid w:val="00983618"/>
    <w:rsid w:val="009B2D44"/>
    <w:rsid w:val="009E2C72"/>
    <w:rsid w:val="00A07E82"/>
    <w:rsid w:val="00A527E3"/>
    <w:rsid w:val="00A7027A"/>
    <w:rsid w:val="00A9710C"/>
    <w:rsid w:val="00AE3E37"/>
    <w:rsid w:val="00B21A57"/>
    <w:rsid w:val="00B9568E"/>
    <w:rsid w:val="00C33602"/>
    <w:rsid w:val="00CD6F55"/>
    <w:rsid w:val="00D45DB1"/>
    <w:rsid w:val="00D75A81"/>
    <w:rsid w:val="00DE3104"/>
    <w:rsid w:val="00E92544"/>
    <w:rsid w:val="00F07D91"/>
    <w:rsid w:val="00F2380B"/>
    <w:rsid w:val="00F53034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C2F217"/>
  <w15:docId w15:val="{0267AD6D-E823-4FFB-938F-3B086A4EB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olo1">
    <w:name w:val="heading 1"/>
    <w:basedOn w:val="Normale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olo2">
    <w:name w:val="heading 2"/>
    <w:basedOn w:val="Normale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olo3">
    <w:name w:val="heading 3"/>
    <w:basedOn w:val="Normale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CD6F55"/>
    <w:rPr>
      <w:sz w:val="18"/>
      <w:szCs w:val="18"/>
    </w:rPr>
  </w:style>
  <w:style w:type="paragraph" w:styleId="Paragrafoelenco">
    <w:name w:val="List Paragraph"/>
    <w:basedOn w:val="Normale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CD6F55"/>
  </w:style>
  <w:style w:type="paragraph" w:styleId="Intestazione">
    <w:name w:val="header"/>
    <w:basedOn w:val="Normale"/>
    <w:link w:val="Intestazione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3A56"/>
    <w:rPr>
      <w:rFonts w:ascii="Tw Cen MT" w:eastAsia="Tw Cen MT" w:hAnsi="Tw Cen MT" w:cs="Tw Cen MT"/>
    </w:rPr>
  </w:style>
  <w:style w:type="paragraph" w:styleId="Pidipagina">
    <w:name w:val="footer"/>
    <w:basedOn w:val="Normale"/>
    <w:link w:val="Pidipagina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3A56"/>
    <w:rPr>
      <w:rFonts w:ascii="Tw Cen MT" w:eastAsia="Tw Cen MT" w:hAnsi="Tw Cen MT" w:cs="Tw Cen M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8756E6"/>
    <w:rPr>
      <w:color w:val="0000FF" w:themeColor="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Menzionenonrisolta">
    <w:name w:val="Unresolved Mention"/>
    <w:basedOn w:val="Carpredefinitoparagrafo"/>
    <w:uiPriority w:val="99"/>
    <w:semiHidden/>
    <w:unhideWhenUsed/>
    <w:rsid w:val="00D45DB1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valentina.cauda@polito.it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2</Pages>
  <Words>774</Words>
  <Characters>4415</Characters>
  <Application>Microsoft Office Word</Application>
  <DocSecurity>0</DocSecurity>
  <Lines>36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Valentina Cauda</cp:lastModifiedBy>
  <cp:revision>12</cp:revision>
  <dcterms:created xsi:type="dcterms:W3CDTF">2018-09-10T09:01:00Z</dcterms:created>
  <dcterms:modified xsi:type="dcterms:W3CDTF">2018-09-10T14:57:00Z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