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E3E37" w:rsidRDefault="00332F9A" w:rsidP="00494130">
      <w:pPr>
        <w:pStyle w:val="1"/>
        <w:spacing w:before="170"/>
        <w:ind w:left="0"/>
      </w:pPr>
      <w:r>
        <w:rPr>
          <w:color w:val="337AB7"/>
        </w:rPr>
        <w:t>Carbonate apatite: Next generation artificial bone replacement</w:t>
      </w:r>
    </w:p>
    <w:p w:rsidR="00332F9A" w:rsidRDefault="00332F9A" w:rsidP="005973B9">
      <w:pPr>
        <w:pStyle w:val="a3"/>
        <w:spacing w:before="73" w:line="198" w:lineRule="exact"/>
        <w:ind w:left="100" w:right="5987"/>
        <w:rPr>
          <w:rFonts w:ascii="Arial"/>
        </w:rPr>
      </w:pPr>
      <w:r>
        <w:rPr>
          <w:rFonts w:ascii="Arial"/>
        </w:rPr>
        <w:t>Kunio Ishikawa, PhD, Kyushu University, Japan</w:t>
      </w:r>
    </w:p>
    <w:p w:rsidR="00AE3E37" w:rsidRDefault="00AE3E37">
      <w:pPr>
        <w:pStyle w:val="a3"/>
        <w:spacing w:before="3"/>
        <w:rPr>
          <w:rFonts w:ascii="Arial"/>
          <w:sz w:val="21"/>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A9710C">
      <w:pPr>
        <w:pStyle w:val="3"/>
        <w:spacing w:before="147"/>
        <w:jc w:val="both"/>
      </w:pPr>
      <w:r>
        <w:rPr>
          <w:color w:val="BF5A14"/>
        </w:rPr>
        <w:t>Abstract</w:t>
      </w:r>
      <w:r w:rsidR="00404E5B">
        <w:rPr>
          <w:color w:val="BF5A14"/>
        </w:rPr>
        <w:t xml:space="preserve"> </w:t>
      </w:r>
    </w:p>
    <w:p w:rsidR="0030109B" w:rsidRDefault="0030109B">
      <w:pPr>
        <w:pStyle w:val="a3"/>
        <w:spacing w:before="90" w:line="280" w:lineRule="auto"/>
        <w:ind w:left="100"/>
        <w:jc w:val="both"/>
        <w:rPr>
          <w:rFonts w:eastAsiaTheme="minorEastAsia"/>
          <w:lang w:eastAsia="ja-JP"/>
        </w:rPr>
      </w:pPr>
      <w:r>
        <w:rPr>
          <w:rFonts w:eastAsiaTheme="minorEastAsia" w:hint="eastAsia"/>
          <w:lang w:eastAsia="ja-JP"/>
        </w:rPr>
        <w:t>Although</w:t>
      </w:r>
      <w:r>
        <w:rPr>
          <w:rFonts w:eastAsiaTheme="minorEastAsia"/>
          <w:lang w:eastAsia="ja-JP"/>
        </w:rPr>
        <w:t xml:space="preserve"> bone apatite is the carbonate apatite (CO</w:t>
      </w:r>
      <w:r w:rsidRPr="0030109B">
        <w:rPr>
          <w:rFonts w:eastAsiaTheme="minorEastAsia"/>
          <w:vertAlign w:val="subscript"/>
          <w:lang w:eastAsia="ja-JP"/>
        </w:rPr>
        <w:t>3</w:t>
      </w:r>
      <w:r>
        <w:rPr>
          <w:rFonts w:eastAsiaTheme="minorEastAsia"/>
          <w:lang w:eastAsia="ja-JP"/>
        </w:rPr>
        <w:t>Ap) that contains 6-9wt% carbonate in apatitic structure, hydroxyapatite (HAp) has been used as one of typical artificial bone substitute since CO</w:t>
      </w:r>
      <w:r w:rsidRPr="0030109B">
        <w:rPr>
          <w:rFonts w:eastAsiaTheme="minorEastAsia"/>
          <w:vertAlign w:val="subscript"/>
          <w:lang w:eastAsia="ja-JP"/>
        </w:rPr>
        <w:t>3</w:t>
      </w:r>
      <w:r>
        <w:rPr>
          <w:rFonts w:eastAsiaTheme="minorEastAsia"/>
          <w:lang w:eastAsia="ja-JP"/>
        </w:rPr>
        <w:t>Ap powder start to decompose at 400</w:t>
      </w:r>
      <w:r w:rsidRPr="0030109B">
        <w:rPr>
          <w:rFonts w:eastAsiaTheme="minorEastAsia"/>
          <w:lang w:eastAsia="ja-JP"/>
        </w:rPr>
        <w:t>°C</w:t>
      </w:r>
      <w:r>
        <w:rPr>
          <w:rFonts w:eastAsiaTheme="minorEastAsia"/>
          <w:lang w:eastAsia="ja-JP"/>
        </w:rPr>
        <w:t>, thus cannot be sintered. We have found that CO</w:t>
      </w:r>
      <w:r w:rsidRPr="0030109B">
        <w:rPr>
          <w:rFonts w:eastAsiaTheme="minorEastAsia"/>
          <w:vertAlign w:val="subscript"/>
          <w:lang w:eastAsia="ja-JP"/>
        </w:rPr>
        <w:t>3</w:t>
      </w:r>
      <w:r>
        <w:rPr>
          <w:rFonts w:eastAsiaTheme="minorEastAsia"/>
          <w:lang w:eastAsia="ja-JP"/>
        </w:rPr>
        <w:t xml:space="preserve">Ap block can be fabricated by </w:t>
      </w:r>
      <w:r w:rsidRPr="0030109B">
        <w:rPr>
          <w:rFonts w:eastAsiaTheme="minorEastAsia"/>
          <w:lang w:eastAsia="ja-JP"/>
        </w:rPr>
        <w:t>compositional transformation though a dissolution</w:t>
      </w:r>
      <w:r>
        <w:rPr>
          <w:rFonts w:eastAsiaTheme="minorEastAsia"/>
          <w:lang w:eastAsia="ja-JP"/>
        </w:rPr>
        <w:t xml:space="preserve">–precipitation reaction using </w:t>
      </w:r>
      <w:r w:rsidRPr="0030109B">
        <w:rPr>
          <w:rFonts w:eastAsiaTheme="minorEastAsia"/>
          <w:lang w:eastAsia="ja-JP"/>
        </w:rPr>
        <w:t>precursor</w:t>
      </w:r>
      <w:r>
        <w:rPr>
          <w:rFonts w:eastAsiaTheme="minorEastAsia"/>
          <w:lang w:eastAsia="ja-JP"/>
        </w:rPr>
        <w:t>s such as calcium carbonate and tricalcium phosphate.</w:t>
      </w:r>
    </w:p>
    <w:p w:rsidR="00A15A4E" w:rsidRDefault="00686E7B" w:rsidP="001607CE">
      <w:pPr>
        <w:pStyle w:val="a3"/>
        <w:spacing w:before="90" w:line="280" w:lineRule="auto"/>
        <w:ind w:left="100"/>
        <w:jc w:val="both"/>
        <w:rPr>
          <w:rFonts w:eastAsiaTheme="minorEastAsia"/>
          <w:lang w:eastAsia="ja-JP"/>
        </w:rPr>
      </w:pPr>
      <w:r>
        <w:rPr>
          <w:rFonts w:eastAsiaTheme="minorEastAsia"/>
          <w:lang w:eastAsia="ja-JP"/>
        </w:rPr>
        <w:t xml:space="preserve">Although HAp is not resorbed by osteoblasts, </w:t>
      </w:r>
      <w:r w:rsidR="0030109B">
        <w:rPr>
          <w:rFonts w:eastAsiaTheme="minorEastAsia"/>
          <w:lang w:eastAsia="ja-JP"/>
        </w:rPr>
        <w:t>CO</w:t>
      </w:r>
      <w:r w:rsidR="0030109B" w:rsidRPr="0030109B">
        <w:rPr>
          <w:rFonts w:eastAsiaTheme="minorEastAsia"/>
          <w:vertAlign w:val="subscript"/>
          <w:lang w:eastAsia="ja-JP"/>
        </w:rPr>
        <w:t>3</w:t>
      </w:r>
      <w:r w:rsidR="0030109B">
        <w:rPr>
          <w:rFonts w:eastAsiaTheme="minorEastAsia"/>
          <w:lang w:eastAsia="ja-JP"/>
        </w:rPr>
        <w:t xml:space="preserve">Ap thus fabricated </w:t>
      </w:r>
      <w:r w:rsidR="001607CE">
        <w:rPr>
          <w:rFonts w:eastAsiaTheme="minorEastAsia"/>
          <w:lang w:eastAsia="ja-JP"/>
        </w:rPr>
        <w:t>was resorbed</w:t>
      </w:r>
      <w:r>
        <w:rPr>
          <w:rFonts w:eastAsiaTheme="minorEastAsia"/>
          <w:lang w:eastAsia="ja-JP"/>
        </w:rPr>
        <w:t xml:space="preserve"> by osteoclasts similar to bone (figure 1).</w:t>
      </w:r>
      <w:r w:rsidR="001607CE">
        <w:rPr>
          <w:rFonts w:eastAsiaTheme="minorEastAsia"/>
          <w:lang w:eastAsia="ja-JP"/>
        </w:rPr>
        <w:t xml:space="preserve"> As a result of osteoclastic resorption, CO</w:t>
      </w:r>
      <w:r w:rsidR="001607CE" w:rsidRPr="0030109B">
        <w:rPr>
          <w:rFonts w:eastAsiaTheme="minorEastAsia"/>
          <w:vertAlign w:val="subscript"/>
          <w:lang w:eastAsia="ja-JP"/>
        </w:rPr>
        <w:t>3</w:t>
      </w:r>
      <w:r w:rsidR="001607CE">
        <w:rPr>
          <w:rFonts w:eastAsiaTheme="minorEastAsia"/>
          <w:lang w:eastAsia="ja-JP"/>
        </w:rPr>
        <w:t>Ap is replaced by bone whereas HAp remained as it is at th</w:t>
      </w:r>
      <w:r>
        <w:rPr>
          <w:rFonts w:eastAsiaTheme="minorEastAsia"/>
          <w:lang w:eastAsia="ja-JP"/>
        </w:rPr>
        <w:t>e bone defects (Figure 2)</w:t>
      </w:r>
      <w:r w:rsidR="001607CE">
        <w:rPr>
          <w:rFonts w:eastAsiaTheme="minorEastAsia"/>
          <w:lang w:eastAsia="ja-JP"/>
        </w:rPr>
        <w:t>. CO</w:t>
      </w:r>
      <w:r w:rsidR="001607CE" w:rsidRPr="0030109B">
        <w:rPr>
          <w:rFonts w:eastAsiaTheme="minorEastAsia"/>
          <w:vertAlign w:val="subscript"/>
          <w:lang w:eastAsia="ja-JP"/>
        </w:rPr>
        <w:t>3</w:t>
      </w:r>
      <w:r w:rsidR="001607CE">
        <w:rPr>
          <w:rFonts w:eastAsiaTheme="minorEastAsia"/>
          <w:lang w:eastAsia="ja-JP"/>
        </w:rPr>
        <w:t xml:space="preserve">Ap </w:t>
      </w:r>
      <w:r w:rsidR="0030109B">
        <w:rPr>
          <w:rFonts w:eastAsiaTheme="minorEastAsia"/>
          <w:lang w:eastAsia="ja-JP"/>
        </w:rPr>
        <w:t xml:space="preserve">up-regulate differentiation of osteoblasts </w:t>
      </w:r>
      <w:r w:rsidR="001607CE">
        <w:rPr>
          <w:rFonts w:eastAsiaTheme="minorEastAsia"/>
          <w:lang w:eastAsia="ja-JP"/>
        </w:rPr>
        <w:t xml:space="preserve">even when compared to </w:t>
      </w:r>
      <w:r w:rsidR="0030109B">
        <w:rPr>
          <w:rFonts w:eastAsiaTheme="minorEastAsia"/>
          <w:lang w:eastAsia="ja-JP"/>
        </w:rPr>
        <w:t>HAp</w:t>
      </w:r>
      <w:r w:rsidR="001607CE">
        <w:rPr>
          <w:rFonts w:eastAsiaTheme="minorEastAsia"/>
          <w:lang w:eastAsia="ja-JP"/>
        </w:rPr>
        <w:t xml:space="preserve">. </w:t>
      </w:r>
      <w:r w:rsidR="00A15A4E" w:rsidRPr="00A15A4E">
        <w:rPr>
          <w:rFonts w:eastAsiaTheme="minorEastAsia"/>
          <w:lang w:eastAsia="ja-JP"/>
        </w:rPr>
        <w:drawing>
          <wp:inline distT="0" distB="0" distL="0" distR="0" wp14:anchorId="41DFB429" wp14:editId="71CC9B20">
            <wp:extent cx="3165475" cy="1544955"/>
            <wp:effectExtent l="0" t="0" r="0" b="0"/>
            <wp:docPr id="22" name="図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図 21"/>
                    <pic:cNvPicPr>
                      <a:picLocks noChangeAspect="1"/>
                    </pic:cNvPicPr>
                  </pic:nvPicPr>
                  <pic:blipFill rotWithShape="1">
                    <a:blip r:embed="rId9">
                      <a:extLst>
                        <a:ext uri="{28A0092B-C50C-407E-A947-70E740481C1C}">
                          <a14:useLocalDpi xmlns:a14="http://schemas.microsoft.com/office/drawing/2010/main" val="0"/>
                        </a:ext>
                      </a:extLst>
                    </a:blip>
                    <a:srcRect r="51158"/>
                    <a:stretch/>
                  </pic:blipFill>
                  <pic:spPr>
                    <a:xfrm>
                      <a:off x="0" y="0"/>
                      <a:ext cx="3165475" cy="1544955"/>
                    </a:xfrm>
                    <a:prstGeom prst="rect">
                      <a:avLst/>
                    </a:prstGeom>
                  </pic:spPr>
                </pic:pic>
              </a:graphicData>
            </a:graphic>
          </wp:inline>
        </w:drawing>
      </w:r>
    </w:p>
    <w:p w:rsidR="00AE3E37" w:rsidRPr="00686E7B" w:rsidRDefault="00A15A4E" w:rsidP="00686E7B">
      <w:pPr>
        <w:pStyle w:val="a3"/>
        <w:spacing w:before="90" w:line="280" w:lineRule="auto"/>
        <w:ind w:left="100"/>
        <w:jc w:val="both"/>
        <w:rPr>
          <w:rFonts w:eastAsiaTheme="minorEastAsia" w:hint="eastAsia"/>
          <w:lang w:eastAsia="ja-JP"/>
        </w:rPr>
      </w:pPr>
      <w:r>
        <w:rPr>
          <w:rFonts w:eastAsiaTheme="minorEastAsia" w:hint="eastAsia"/>
          <w:lang w:eastAsia="ja-JP"/>
        </w:rPr>
        <w:t>Figure</w:t>
      </w:r>
      <w:r>
        <w:rPr>
          <w:rFonts w:eastAsiaTheme="minorEastAsia"/>
          <w:lang w:eastAsia="ja-JP"/>
        </w:rPr>
        <w:t>1 SEM images of HAp and CO</w:t>
      </w:r>
      <w:r w:rsidRPr="00A15A4E">
        <w:rPr>
          <w:rFonts w:eastAsiaTheme="minorEastAsia"/>
          <w:vertAlign w:val="subscript"/>
          <w:lang w:eastAsia="ja-JP"/>
        </w:rPr>
        <w:t>3</w:t>
      </w:r>
      <w:r>
        <w:rPr>
          <w:rFonts w:eastAsiaTheme="minorEastAsia"/>
          <w:lang w:eastAsia="ja-JP"/>
        </w:rPr>
        <w:t xml:space="preserve">Ap when osteoclastic cells were incubated on their </w:t>
      </w:r>
      <w:r w:rsidR="00686E7B">
        <w:rPr>
          <w:rFonts w:eastAsiaTheme="minorEastAsia"/>
          <w:lang w:eastAsia="ja-JP"/>
        </w:rPr>
        <w:t>surfaces</w:t>
      </w:r>
      <w:r>
        <w:rPr>
          <w:rFonts w:eastAsiaTheme="minorEastAsia"/>
          <w:lang w:eastAsia="ja-JP"/>
        </w:rPr>
        <w:t>.</w:t>
      </w:r>
    </w:p>
    <w:p w:rsidR="00686E7B" w:rsidRDefault="00686E7B">
      <w:pPr>
        <w:pStyle w:val="a3"/>
        <w:spacing w:before="2"/>
        <w:rPr>
          <w:rFonts w:eastAsiaTheme="minorEastAsia" w:hint="eastAsia"/>
          <w:noProof/>
          <w:lang w:eastAsia="ja-JP"/>
        </w:rPr>
      </w:pPr>
    </w:p>
    <w:p w:rsidR="00686E7B" w:rsidRDefault="00686E7B">
      <w:pPr>
        <w:pStyle w:val="a3"/>
        <w:spacing w:before="2"/>
        <w:rPr>
          <w:rFonts w:eastAsiaTheme="minorEastAsia"/>
          <w:noProof/>
          <w:lang w:eastAsia="ja-JP"/>
        </w:rPr>
      </w:pPr>
      <w:r w:rsidRPr="00A15A4E">
        <w:rPr>
          <w:rFonts w:eastAsiaTheme="minorEastAsia"/>
          <w:lang w:eastAsia="ja-JP"/>
        </w:rPr>
        <w:drawing>
          <wp:inline distT="0" distB="0" distL="0" distR="0" wp14:anchorId="7763DCFE" wp14:editId="4D220205">
            <wp:extent cx="3165475" cy="1532890"/>
            <wp:effectExtent l="0" t="0" r="0" b="0"/>
            <wp:docPr id="23" name="図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図 22"/>
                    <pic:cNvPicPr>
                      <a:picLocks noChangeAspect="1"/>
                    </pic:cNvPicPr>
                  </pic:nvPicPr>
                  <pic:blipFill rotWithShape="1">
                    <a:blip r:embed="rId9">
                      <a:extLst>
                        <a:ext uri="{28A0092B-C50C-407E-A947-70E740481C1C}">
                          <a14:useLocalDpi xmlns:a14="http://schemas.microsoft.com/office/drawing/2010/main" val="0"/>
                        </a:ext>
                      </a:extLst>
                    </a:blip>
                    <a:srcRect l="50767"/>
                    <a:stretch/>
                  </pic:blipFill>
                  <pic:spPr>
                    <a:xfrm>
                      <a:off x="0" y="0"/>
                      <a:ext cx="3165475" cy="1532890"/>
                    </a:xfrm>
                    <a:prstGeom prst="rect">
                      <a:avLst/>
                    </a:prstGeom>
                  </pic:spPr>
                </pic:pic>
              </a:graphicData>
            </a:graphic>
          </wp:inline>
        </w:drawing>
      </w:r>
    </w:p>
    <w:p w:rsidR="00686E7B" w:rsidRDefault="00686E7B">
      <w:pPr>
        <w:pStyle w:val="a3"/>
        <w:spacing w:before="2"/>
        <w:rPr>
          <w:rFonts w:eastAsiaTheme="minorEastAsia"/>
          <w:noProof/>
          <w:lang w:eastAsia="ja-JP"/>
        </w:rPr>
      </w:pPr>
      <w:r>
        <w:rPr>
          <w:rFonts w:eastAsiaTheme="minorEastAsia" w:hint="eastAsia"/>
          <w:noProof/>
          <w:lang w:eastAsia="ja-JP"/>
        </w:rPr>
        <w:t>Figure 2 Micro-CT</w:t>
      </w:r>
      <w:r>
        <w:rPr>
          <w:rFonts w:eastAsiaTheme="minorEastAsia"/>
          <w:noProof/>
          <w:lang w:eastAsia="ja-JP"/>
        </w:rPr>
        <w:t xml:space="preserve"> images of HAp and CO3Ap when used for the reconstruction of rabbit femur bone defect.  24months after implantation.</w:t>
      </w:r>
    </w:p>
    <w:p w:rsidR="00686E7B" w:rsidRDefault="00686E7B">
      <w:pPr>
        <w:pStyle w:val="a3"/>
        <w:spacing w:before="2"/>
        <w:rPr>
          <w:rFonts w:eastAsiaTheme="minorEastAsia"/>
          <w:noProof/>
          <w:lang w:eastAsia="ja-JP"/>
        </w:rPr>
      </w:pPr>
    </w:p>
    <w:p w:rsidR="00686E7B" w:rsidRPr="00686E7B" w:rsidRDefault="00686E7B" w:rsidP="00686E7B">
      <w:pPr>
        <w:pStyle w:val="a3"/>
        <w:spacing w:before="90" w:line="280" w:lineRule="auto"/>
        <w:ind w:left="100"/>
        <w:jc w:val="both"/>
        <w:rPr>
          <w:rFonts w:eastAsiaTheme="minorEastAsia" w:hint="eastAsia"/>
          <w:lang w:eastAsia="ja-JP"/>
        </w:rPr>
      </w:pPr>
      <w:r>
        <w:rPr>
          <w:rFonts w:eastAsiaTheme="minorEastAsia"/>
          <w:lang w:eastAsia="ja-JP"/>
        </w:rPr>
        <w:t>Figure 3 show the typical Villanueva Goldner staining of HAp and CO</w:t>
      </w:r>
      <w:r w:rsidRPr="00686E7B">
        <w:rPr>
          <w:rFonts w:eastAsiaTheme="minorEastAsia"/>
          <w:vertAlign w:val="subscript"/>
          <w:lang w:eastAsia="ja-JP"/>
        </w:rPr>
        <w:t>3</w:t>
      </w:r>
      <w:r>
        <w:rPr>
          <w:rFonts w:eastAsiaTheme="minorEastAsia"/>
          <w:lang w:eastAsia="ja-JP"/>
        </w:rPr>
        <w:t>Ap when used for the reconstruction of bone defect made at the beagle dog mandible. Both HAp and CO</w:t>
      </w:r>
      <w:r w:rsidRPr="00686E7B">
        <w:rPr>
          <w:rFonts w:eastAsiaTheme="minorEastAsia"/>
          <w:vertAlign w:val="subscript"/>
          <w:lang w:eastAsia="ja-JP"/>
        </w:rPr>
        <w:t>3</w:t>
      </w:r>
      <w:r>
        <w:rPr>
          <w:rFonts w:eastAsiaTheme="minorEastAsia"/>
          <w:lang w:eastAsia="ja-JP"/>
        </w:rPr>
        <w:t>Ap demonstrated excellent tissue response. However, amount of the bone formed at the bone defect was much larger in the case of CO</w:t>
      </w:r>
      <w:r w:rsidRPr="00686E7B">
        <w:rPr>
          <w:rFonts w:eastAsiaTheme="minorEastAsia"/>
          <w:vertAlign w:val="subscript"/>
          <w:lang w:eastAsia="ja-JP"/>
        </w:rPr>
        <w:t>3</w:t>
      </w:r>
      <w:r>
        <w:rPr>
          <w:rFonts w:eastAsiaTheme="minorEastAsia"/>
          <w:lang w:eastAsia="ja-JP"/>
        </w:rPr>
        <w:t>Ap when compared to HAp.</w:t>
      </w:r>
    </w:p>
    <w:p w:rsidR="00686E7B" w:rsidRPr="00686E7B" w:rsidRDefault="00686E7B">
      <w:pPr>
        <w:pStyle w:val="a3"/>
        <w:spacing w:before="2"/>
        <w:rPr>
          <w:rFonts w:eastAsiaTheme="minorEastAsia" w:hint="eastAsia"/>
          <w:noProof/>
          <w:lang w:eastAsia="ja-JP"/>
        </w:rPr>
      </w:pPr>
    </w:p>
    <w:p w:rsidR="00686E7B" w:rsidRDefault="00686E7B">
      <w:pPr>
        <w:pStyle w:val="a3"/>
        <w:spacing w:before="2"/>
        <w:rPr>
          <w:rFonts w:ascii="Arial"/>
          <w:b/>
          <w:sz w:val="16"/>
        </w:rPr>
      </w:pPr>
      <w:r>
        <w:rPr>
          <w:rFonts w:ascii="Arial"/>
          <w:b/>
          <w:noProof/>
          <w:sz w:val="16"/>
          <w:lang w:eastAsia="ja-JP"/>
        </w:rPr>
        <w:drawing>
          <wp:inline distT="0" distB="0" distL="0" distR="0">
            <wp:extent cx="3165475" cy="1205230"/>
            <wp:effectExtent l="0" t="0" r="0" b="0"/>
            <wp:docPr id="5" name="図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NG.pn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3165475" cy="1205230"/>
                    </a:xfrm>
                    <a:prstGeom prst="rect">
                      <a:avLst/>
                    </a:prstGeom>
                  </pic:spPr>
                </pic:pic>
              </a:graphicData>
            </a:graphic>
          </wp:inline>
        </w:drawing>
      </w:r>
    </w:p>
    <w:p w:rsidR="00686E7B" w:rsidRPr="00686E7B" w:rsidRDefault="00686E7B" w:rsidP="005973B9">
      <w:pPr>
        <w:spacing w:line="204" w:lineRule="exact"/>
        <w:rPr>
          <w:rFonts w:ascii="Arial" w:eastAsiaTheme="minorEastAsia" w:hint="eastAsia"/>
          <w:b/>
          <w:color w:val="BF5A14"/>
          <w:sz w:val="20"/>
          <w:lang w:eastAsia="ja-JP"/>
        </w:rPr>
      </w:pPr>
      <w:r>
        <w:rPr>
          <w:rFonts w:eastAsiaTheme="minorEastAsia" w:hint="eastAsia"/>
          <w:lang w:eastAsia="ja-JP"/>
        </w:rPr>
        <w:t>Figure</w:t>
      </w:r>
      <w:r>
        <w:rPr>
          <w:rFonts w:eastAsiaTheme="minorEastAsia"/>
          <w:lang w:eastAsia="ja-JP"/>
        </w:rPr>
        <w:t>3</w:t>
      </w:r>
      <w:r>
        <w:rPr>
          <w:rFonts w:eastAsiaTheme="minorEastAsia"/>
          <w:lang w:eastAsia="ja-JP"/>
        </w:rPr>
        <w:t xml:space="preserve"> </w:t>
      </w:r>
      <w:r>
        <w:rPr>
          <w:rFonts w:eastAsiaTheme="minorEastAsia"/>
          <w:lang w:eastAsia="ja-JP"/>
        </w:rPr>
        <w:t>Villanueva Goldner staining of HAp and CO</w:t>
      </w:r>
      <w:r w:rsidRPr="00686E7B">
        <w:rPr>
          <w:rFonts w:eastAsiaTheme="minorEastAsia"/>
          <w:vertAlign w:val="subscript"/>
          <w:lang w:eastAsia="ja-JP"/>
        </w:rPr>
        <w:t>3</w:t>
      </w:r>
      <w:r>
        <w:rPr>
          <w:rFonts w:eastAsiaTheme="minorEastAsia"/>
          <w:lang w:eastAsia="ja-JP"/>
        </w:rPr>
        <w:t>Ap when used for the reconstruction of bone defect at the beagle dog mandible. 3months after implantation</w:t>
      </w:r>
    </w:p>
    <w:p w:rsidR="005973B9" w:rsidRDefault="005973B9" w:rsidP="005973B9">
      <w:pPr>
        <w:spacing w:line="204" w:lineRule="exact"/>
        <w:rPr>
          <w:rFonts w:ascii="Arial"/>
          <w:b/>
          <w:sz w:val="20"/>
        </w:rPr>
      </w:pPr>
      <w:r>
        <w:rPr>
          <w:rFonts w:ascii="Arial"/>
          <w:b/>
          <w:color w:val="BF5A14"/>
          <w:sz w:val="20"/>
        </w:rPr>
        <w:br/>
        <w:t>Recent Publications</w:t>
      </w:r>
    </w:p>
    <w:p w:rsidR="0030109B" w:rsidRPr="0030109B" w:rsidRDefault="0030109B" w:rsidP="0030109B">
      <w:pPr>
        <w:pStyle w:val="a3"/>
        <w:spacing w:before="85" w:line="216" w:lineRule="exact"/>
        <w:ind w:left="383" w:right="138" w:hanging="284"/>
        <w:jc w:val="both"/>
        <w:rPr>
          <w:rFonts w:ascii="Calibri" w:hAnsi="Calibri"/>
        </w:rPr>
      </w:pPr>
      <w:r w:rsidRPr="0030109B">
        <w:rPr>
          <w:rFonts w:ascii="Calibri" w:hAnsi="Calibri"/>
        </w:rPr>
        <w:t>1.</w:t>
      </w:r>
      <w:r w:rsidRPr="0030109B">
        <w:rPr>
          <w:rFonts w:ascii="Calibri" w:hAnsi="Calibri"/>
        </w:rPr>
        <w:tab/>
        <w:t xml:space="preserve">Ishikawa K, </w:t>
      </w:r>
      <w:proofErr w:type="spellStart"/>
      <w:r>
        <w:rPr>
          <w:rFonts w:ascii="Calibri" w:hAnsi="Calibri"/>
        </w:rPr>
        <w:t>Kawachi</w:t>
      </w:r>
      <w:proofErr w:type="spellEnd"/>
      <w:r>
        <w:rPr>
          <w:rFonts w:ascii="Calibri" w:hAnsi="Calibri"/>
        </w:rPr>
        <w:t xml:space="preserve"> G, Tsuru K, Yoshimoto A (2017) </w:t>
      </w:r>
      <w:r w:rsidRPr="0030109B">
        <w:rPr>
          <w:rFonts w:ascii="Calibri" w:hAnsi="Calibri"/>
        </w:rPr>
        <w:t xml:space="preserve"> Fabrication of calcite blocks from gypsum blocks by compositional transformation based on dissolution–precipitation reactions in sodium carbonate solution. Mater </w:t>
      </w:r>
      <w:proofErr w:type="spellStart"/>
      <w:r w:rsidRPr="0030109B">
        <w:rPr>
          <w:rFonts w:ascii="Calibri" w:hAnsi="Calibri"/>
        </w:rPr>
        <w:t>Sci</w:t>
      </w:r>
      <w:proofErr w:type="spellEnd"/>
      <w:r w:rsidRPr="0030109B">
        <w:rPr>
          <w:rFonts w:ascii="Calibri" w:hAnsi="Calibri"/>
        </w:rPr>
        <w:t xml:space="preserve"> &amp; </w:t>
      </w:r>
      <w:proofErr w:type="spellStart"/>
      <w:r w:rsidRPr="0030109B">
        <w:rPr>
          <w:rFonts w:ascii="Calibri" w:hAnsi="Calibri"/>
        </w:rPr>
        <w:t>Eng</w:t>
      </w:r>
      <w:proofErr w:type="spellEnd"/>
      <w:r w:rsidRPr="0030109B">
        <w:rPr>
          <w:rFonts w:ascii="Calibri" w:hAnsi="Calibri"/>
        </w:rPr>
        <w:t xml:space="preserve"> C, 51, 389–393.</w:t>
      </w:r>
      <w:bookmarkStart w:id="0" w:name="_GoBack"/>
    </w:p>
    <w:p w:rsidR="0030109B" w:rsidRPr="0030109B" w:rsidRDefault="0030109B" w:rsidP="0030109B">
      <w:pPr>
        <w:pStyle w:val="a3"/>
        <w:spacing w:before="85" w:line="216" w:lineRule="exact"/>
        <w:ind w:left="383" w:right="138" w:hanging="284"/>
        <w:jc w:val="both"/>
        <w:rPr>
          <w:rFonts w:ascii="Calibri" w:hAnsi="Calibri"/>
        </w:rPr>
      </w:pPr>
      <w:r w:rsidRPr="0030109B">
        <w:rPr>
          <w:rFonts w:ascii="Calibri" w:hAnsi="Calibri"/>
        </w:rPr>
        <w:t>2.</w:t>
      </w:r>
      <w:r w:rsidRPr="0030109B">
        <w:rPr>
          <w:rFonts w:ascii="Calibri" w:hAnsi="Calibri"/>
        </w:rPr>
        <w:tab/>
      </w:r>
      <w:proofErr w:type="spellStart"/>
      <w:r w:rsidRPr="0030109B">
        <w:rPr>
          <w:rFonts w:ascii="Calibri" w:hAnsi="Calibri"/>
        </w:rPr>
        <w:t>Shariff</w:t>
      </w:r>
      <w:proofErr w:type="spellEnd"/>
      <w:r w:rsidRPr="0030109B">
        <w:rPr>
          <w:rFonts w:ascii="Calibri" w:hAnsi="Calibri"/>
        </w:rPr>
        <w:t xml:space="preserve"> KA, Tsuru K, Ishikawa K</w:t>
      </w:r>
      <w:r>
        <w:rPr>
          <w:rFonts w:ascii="Calibri" w:hAnsi="Calibri"/>
        </w:rPr>
        <w:t xml:space="preserve"> (2017)</w:t>
      </w:r>
      <w:r w:rsidRPr="0030109B">
        <w:rPr>
          <w:rFonts w:ascii="Calibri" w:hAnsi="Calibri"/>
        </w:rPr>
        <w:t xml:space="preserve"> Fabrication of dicalcium phosphate dihydrate-coated </w:t>
      </w:r>
      <w:r w:rsidRPr="0030109B">
        <w:rPr>
          <w:rFonts w:ascii="Symbol" w:hAnsi="Symbol"/>
        </w:rPr>
        <w:t></w:t>
      </w:r>
      <w:r w:rsidRPr="0030109B">
        <w:rPr>
          <w:rFonts w:ascii="Calibri" w:hAnsi="Calibri"/>
        </w:rPr>
        <w:t xml:space="preserve">-TCP granules and evaluation of their osteoconductivity using experimental rats. Materials Science </w:t>
      </w:r>
      <w:bookmarkEnd w:id="0"/>
      <w:r w:rsidRPr="0030109B">
        <w:rPr>
          <w:rFonts w:ascii="Calibri" w:hAnsi="Calibri"/>
        </w:rPr>
        <w:t>and Engine</w:t>
      </w:r>
      <w:r>
        <w:rPr>
          <w:rFonts w:ascii="Calibri" w:hAnsi="Calibri"/>
        </w:rPr>
        <w:t>ering C. 75, 1411-1389–393</w:t>
      </w:r>
      <w:r w:rsidRPr="0030109B">
        <w:rPr>
          <w:rFonts w:ascii="Calibri" w:hAnsi="Calibri"/>
        </w:rPr>
        <w:t>.</w:t>
      </w:r>
    </w:p>
    <w:p w:rsidR="0030109B" w:rsidRDefault="0030109B" w:rsidP="0030109B">
      <w:pPr>
        <w:pStyle w:val="a3"/>
        <w:spacing w:before="85" w:line="216" w:lineRule="exact"/>
        <w:ind w:left="383" w:right="138" w:hanging="284"/>
        <w:jc w:val="both"/>
        <w:rPr>
          <w:rFonts w:ascii="Calibri" w:hAnsi="Calibri"/>
        </w:rPr>
      </w:pPr>
      <w:r w:rsidRPr="0030109B">
        <w:rPr>
          <w:rFonts w:ascii="Calibri" w:hAnsi="Calibri"/>
        </w:rPr>
        <w:t>3.</w:t>
      </w:r>
      <w:r w:rsidRPr="0030109B">
        <w:rPr>
          <w:rFonts w:ascii="Calibri" w:hAnsi="Calibri"/>
        </w:rPr>
        <w:tab/>
        <w:t>Fukuda N, Tsuru K, Mori Y, Ishikawa K</w:t>
      </w:r>
      <w:r>
        <w:rPr>
          <w:rFonts w:ascii="Calibri" w:hAnsi="Calibri"/>
        </w:rPr>
        <w:t xml:space="preserve"> (2017)</w:t>
      </w:r>
      <w:r w:rsidRPr="0030109B">
        <w:rPr>
          <w:rFonts w:ascii="Calibri" w:hAnsi="Calibri"/>
        </w:rPr>
        <w:t xml:space="preserve"> Effect of citric acid on setting reaction and tissue response to </w:t>
      </w:r>
      <w:r w:rsidRPr="0030109B">
        <w:rPr>
          <w:rFonts w:ascii="Calibri" w:hAnsi="Calibri" w:cs="Calibri"/>
        </w:rPr>
        <w:t>β</w:t>
      </w:r>
      <w:r w:rsidRPr="0030109B">
        <w:rPr>
          <w:rFonts w:ascii="Calibri" w:hAnsi="Calibri"/>
        </w:rPr>
        <w:t xml:space="preserve">-TCP granular cement. </w:t>
      </w:r>
      <w:r>
        <w:rPr>
          <w:rFonts w:ascii="Calibri" w:hAnsi="Calibri"/>
        </w:rPr>
        <w:t xml:space="preserve">Biomed Mater, 12(1), 15027. </w:t>
      </w:r>
    </w:p>
    <w:p w:rsidR="0030109B" w:rsidRPr="0030109B" w:rsidRDefault="0030109B" w:rsidP="0030109B">
      <w:pPr>
        <w:pStyle w:val="a3"/>
        <w:spacing w:before="85" w:line="216" w:lineRule="exact"/>
        <w:ind w:left="383" w:right="138" w:hanging="284"/>
        <w:jc w:val="both"/>
        <w:rPr>
          <w:rFonts w:ascii="Calibri" w:hAnsi="Calibri"/>
        </w:rPr>
      </w:pPr>
      <w:r>
        <w:rPr>
          <w:rFonts w:ascii="Calibri" w:eastAsiaTheme="minorEastAsia" w:hAnsi="Calibri" w:hint="eastAsia"/>
          <w:lang w:eastAsia="ja-JP"/>
        </w:rPr>
        <w:t>4.</w:t>
      </w:r>
      <w:r>
        <w:rPr>
          <w:rFonts w:ascii="Calibri" w:eastAsiaTheme="minorEastAsia" w:hAnsi="Calibri"/>
          <w:lang w:eastAsia="ja-JP"/>
        </w:rPr>
        <w:tab/>
      </w:r>
      <w:proofErr w:type="spellStart"/>
      <w:r w:rsidRPr="0030109B">
        <w:rPr>
          <w:rFonts w:ascii="Calibri" w:hAnsi="Calibri"/>
        </w:rPr>
        <w:t>Arifta</w:t>
      </w:r>
      <w:proofErr w:type="spellEnd"/>
      <w:r w:rsidRPr="0030109B">
        <w:rPr>
          <w:rFonts w:ascii="Calibri" w:hAnsi="Calibri"/>
        </w:rPr>
        <w:t xml:space="preserve"> TI</w:t>
      </w:r>
      <w:r>
        <w:rPr>
          <w:rFonts w:ascii="Calibri" w:hAnsi="Calibri"/>
        </w:rPr>
        <w:t xml:space="preserve">, </w:t>
      </w:r>
      <w:proofErr w:type="spellStart"/>
      <w:r>
        <w:rPr>
          <w:rFonts w:ascii="Calibri" w:hAnsi="Calibri"/>
        </w:rPr>
        <w:t>Munar</w:t>
      </w:r>
      <w:proofErr w:type="spellEnd"/>
      <w:r>
        <w:rPr>
          <w:rFonts w:ascii="Calibri" w:hAnsi="Calibri"/>
        </w:rPr>
        <w:t xml:space="preserve"> ML, Tsuru K, Ishikawa K (2017)</w:t>
      </w:r>
      <w:r w:rsidRPr="0030109B">
        <w:rPr>
          <w:rFonts w:ascii="Calibri" w:hAnsi="Calibri"/>
        </w:rPr>
        <w:t xml:space="preserve"> Fabrication of interconnected porous calcium-deficient hydroxyapatite using the setting reaction of </w:t>
      </w:r>
      <w:r w:rsidRPr="0030109B">
        <w:rPr>
          <w:rFonts w:ascii="Calibri" w:hAnsi="Calibri" w:cs="Calibri"/>
        </w:rPr>
        <w:t>α</w:t>
      </w:r>
      <w:r w:rsidRPr="0030109B">
        <w:rPr>
          <w:rFonts w:ascii="Calibri" w:hAnsi="Calibri"/>
        </w:rPr>
        <w:t xml:space="preserve"> tricalcium phosphate spherical granules. </w:t>
      </w:r>
      <w:proofErr w:type="spellStart"/>
      <w:r>
        <w:rPr>
          <w:rFonts w:ascii="Calibri" w:hAnsi="Calibri"/>
        </w:rPr>
        <w:t>Cerams</w:t>
      </w:r>
      <w:proofErr w:type="spellEnd"/>
      <w:r>
        <w:rPr>
          <w:rFonts w:ascii="Calibri" w:hAnsi="Calibri"/>
        </w:rPr>
        <w:t xml:space="preserve"> </w:t>
      </w:r>
      <w:proofErr w:type="spellStart"/>
      <w:r>
        <w:rPr>
          <w:rFonts w:ascii="Calibri" w:hAnsi="Calibri"/>
        </w:rPr>
        <w:t>Int</w:t>
      </w:r>
      <w:proofErr w:type="spellEnd"/>
      <w:r>
        <w:rPr>
          <w:rFonts w:ascii="Calibri" w:hAnsi="Calibri"/>
        </w:rPr>
        <w:t>, 43</w:t>
      </w:r>
      <w:proofErr w:type="gramStart"/>
      <w:r>
        <w:rPr>
          <w:rFonts w:ascii="Calibri" w:hAnsi="Calibri"/>
        </w:rPr>
        <w:t>,11149</w:t>
      </w:r>
      <w:proofErr w:type="gramEnd"/>
      <w:r>
        <w:rPr>
          <w:rFonts w:ascii="Calibri" w:hAnsi="Calibri"/>
        </w:rPr>
        <w:t>-11155</w:t>
      </w:r>
      <w:r w:rsidRPr="0030109B">
        <w:rPr>
          <w:rFonts w:ascii="Calibri" w:hAnsi="Calibri"/>
        </w:rPr>
        <w:t>.</w:t>
      </w:r>
    </w:p>
    <w:p w:rsidR="00AE3E37" w:rsidRPr="00686E7B" w:rsidRDefault="0030109B" w:rsidP="00686E7B">
      <w:pPr>
        <w:pStyle w:val="a3"/>
        <w:spacing w:before="85" w:line="216" w:lineRule="exact"/>
        <w:ind w:left="383" w:right="138" w:hanging="284"/>
        <w:jc w:val="both"/>
        <w:rPr>
          <w:rFonts w:ascii="Calibri" w:hAnsi="Calibri"/>
        </w:rPr>
      </w:pPr>
      <w:r>
        <w:rPr>
          <w:rFonts w:ascii="Calibri" w:hAnsi="Calibri"/>
        </w:rPr>
        <w:t>5</w:t>
      </w:r>
      <w:r w:rsidRPr="0030109B">
        <w:rPr>
          <w:rFonts w:ascii="Calibri" w:hAnsi="Calibri"/>
        </w:rPr>
        <w:t>.</w:t>
      </w:r>
      <w:r w:rsidRPr="0030109B">
        <w:rPr>
          <w:rFonts w:ascii="Calibri" w:hAnsi="Calibri"/>
        </w:rPr>
        <w:tab/>
        <w:t>Sugiura Y, Tsuru K, Ishikawa K</w:t>
      </w:r>
      <w:r>
        <w:rPr>
          <w:rFonts w:ascii="Calibri" w:hAnsi="Calibri"/>
        </w:rPr>
        <w:t xml:space="preserve"> (2017)</w:t>
      </w:r>
      <w:r w:rsidRPr="0030109B">
        <w:rPr>
          <w:rFonts w:ascii="Calibri" w:hAnsi="Calibri"/>
        </w:rPr>
        <w:t xml:space="preserve"> Fabrication of arbitrarily shaped carbonate apatite foam based on the interlocking process of dicalcium hydrogen phosphate dihydrate. J Mat</w:t>
      </w:r>
      <w:r>
        <w:rPr>
          <w:rFonts w:ascii="Calibri" w:hAnsi="Calibri"/>
        </w:rPr>
        <w:t xml:space="preserve">er </w:t>
      </w:r>
      <w:proofErr w:type="spellStart"/>
      <w:r>
        <w:rPr>
          <w:rFonts w:ascii="Calibri" w:hAnsi="Calibri"/>
        </w:rPr>
        <w:t>Sci</w:t>
      </w:r>
      <w:proofErr w:type="spellEnd"/>
      <w:r>
        <w:rPr>
          <w:rFonts w:ascii="Calibri" w:hAnsi="Calibri"/>
        </w:rPr>
        <w:t>: Mater Med, 28, 122</w:t>
      </w:r>
      <w:r w:rsidRPr="0030109B">
        <w:rPr>
          <w:rFonts w:ascii="Calibri" w:hAnsi="Calibri"/>
        </w:rPr>
        <w:t>.</w:t>
      </w: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a3"/>
        <w:rPr>
          <w:rFonts w:ascii="Calibri"/>
          <w:sz w:val="20"/>
        </w:rPr>
      </w:pPr>
    </w:p>
    <w:p w:rsidR="00AE3E37" w:rsidRDefault="00292ED9">
      <w:pPr>
        <w:pStyle w:val="a3"/>
        <w:spacing w:line="40" w:lineRule="exact"/>
        <w:ind w:left="2202"/>
        <w:rPr>
          <w:rFonts w:ascii="Calibri"/>
          <w:sz w:val="4"/>
        </w:rPr>
      </w:pPr>
      <w:r>
        <w:rPr>
          <w:rFonts w:ascii="Calibri"/>
          <w:noProof/>
          <w:sz w:val="4"/>
          <w:lang w:eastAsia="ja-JP"/>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771D9D77"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sidR="001607CE">
        <w:rPr>
          <w:rFonts w:ascii="Arial"/>
          <w:noProof/>
          <w:color w:val="BF5A14"/>
          <w:lang w:eastAsia="ja-JP"/>
        </w:rPr>
        <w:drawing>
          <wp:inline distT="0" distB="0" distL="0" distR="0">
            <wp:extent cx="512341" cy="607219"/>
            <wp:effectExtent l="0" t="0" r="2540" b="2540"/>
            <wp:docPr id="2" name="図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640~540.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21883" cy="618528"/>
                    </a:xfrm>
                    <a:prstGeom prst="rect">
                      <a:avLst/>
                    </a:prstGeom>
                  </pic:spPr>
                </pic:pic>
              </a:graphicData>
            </a:graphic>
          </wp:inline>
        </w:drawing>
      </w:r>
      <w:r w:rsidR="00A9710C">
        <w:rPr>
          <w:rFonts w:ascii="Arial"/>
          <w:color w:val="BF5A14"/>
        </w:rPr>
        <w:t>Biography</w:t>
      </w:r>
    </w:p>
    <w:p w:rsidR="001607CE" w:rsidRDefault="001607CE" w:rsidP="00C74E22">
      <w:pPr>
        <w:spacing w:before="41" w:line="154" w:lineRule="exact"/>
        <w:ind w:left="213" w:right="231"/>
        <w:jc w:val="both"/>
        <w:rPr>
          <w:rFonts w:ascii="Arial"/>
          <w:sz w:val="14"/>
        </w:rPr>
      </w:pPr>
      <w:r>
        <w:rPr>
          <w:rFonts w:ascii="Arial"/>
          <w:sz w:val="14"/>
        </w:rPr>
        <w:t xml:space="preserve">Kunio Ishikawa graduated Osaka University, Japan in 1985 and got a PhD in 1990. After he worked at Tokushima University as Assistant Professor, he moved to Okayama University as Associate Professor. In 2001, he became Chairman and Professor of the Department of Biomaterials, Faculty of Dental Science, </w:t>
      </w:r>
      <w:proofErr w:type="gramStart"/>
      <w:r>
        <w:rPr>
          <w:rFonts w:ascii="Arial"/>
          <w:sz w:val="14"/>
        </w:rPr>
        <w:t>Kyushu</w:t>
      </w:r>
      <w:proofErr w:type="gramEnd"/>
      <w:r>
        <w:rPr>
          <w:rFonts w:ascii="Arial"/>
          <w:sz w:val="14"/>
        </w:rPr>
        <w:t xml:space="preserve"> University, Japan.</w:t>
      </w:r>
      <w:r w:rsidR="00C74E22">
        <w:rPr>
          <w:rFonts w:ascii="Arial"/>
          <w:sz w:val="14"/>
        </w:rPr>
        <w:t xml:space="preserve"> He is also working as a </w:t>
      </w:r>
      <w:proofErr w:type="gramStart"/>
      <w:r w:rsidR="00C74E22" w:rsidRPr="00C74E22">
        <w:rPr>
          <w:rFonts w:ascii="Arial"/>
          <w:sz w:val="14"/>
        </w:rPr>
        <w:t>Senior</w:t>
      </w:r>
      <w:proofErr w:type="gramEnd"/>
      <w:r w:rsidR="00C74E22" w:rsidRPr="00C74E22">
        <w:rPr>
          <w:rFonts w:ascii="Arial"/>
          <w:sz w:val="14"/>
        </w:rPr>
        <w:t xml:space="preserve"> special advisor, National Insti</w:t>
      </w:r>
      <w:r w:rsidR="00C74E22">
        <w:rPr>
          <w:rFonts w:ascii="Arial"/>
          <w:sz w:val="14"/>
        </w:rPr>
        <w:t xml:space="preserve">tute of Science and Technology </w:t>
      </w:r>
      <w:r w:rsidR="00C74E22" w:rsidRPr="00C74E22">
        <w:rPr>
          <w:rFonts w:ascii="Arial"/>
          <w:sz w:val="14"/>
        </w:rPr>
        <w:t xml:space="preserve">Policy, Ministry of Education, Culture, </w:t>
      </w:r>
      <w:r w:rsidR="00C74E22">
        <w:rPr>
          <w:rFonts w:ascii="Arial"/>
          <w:sz w:val="14"/>
        </w:rPr>
        <w:t>Sports, Science and Technology,</w:t>
      </w:r>
      <w:r w:rsidR="00C74E22">
        <w:rPr>
          <w:rFonts w:ascii="Arial" w:eastAsiaTheme="minorEastAsia" w:hint="eastAsia"/>
          <w:sz w:val="14"/>
          <w:lang w:eastAsia="ja-JP"/>
        </w:rPr>
        <w:t xml:space="preserve"> </w:t>
      </w:r>
      <w:r w:rsidR="00C74E22" w:rsidRPr="00C74E22">
        <w:rPr>
          <w:rFonts w:ascii="Arial"/>
          <w:sz w:val="14"/>
        </w:rPr>
        <w:t xml:space="preserve">Japan </w:t>
      </w:r>
      <w:r w:rsidR="00C74E22">
        <w:rPr>
          <w:rFonts w:ascii="Arial"/>
          <w:sz w:val="14"/>
        </w:rPr>
        <w:t xml:space="preserve">His interest is biomaterials aimed for hard tissue regeneration and reconstruction. He was awarded </w:t>
      </w:r>
      <w:r w:rsidR="00C74E22">
        <w:rPr>
          <w:rFonts w:ascii="Arial"/>
          <w:sz w:val="14"/>
        </w:rPr>
        <w:t>“</w:t>
      </w:r>
      <w:r w:rsidR="00C74E22" w:rsidRPr="00C74E22">
        <w:rPr>
          <w:rFonts w:ascii="Arial"/>
          <w:sz w:val="14"/>
        </w:rPr>
        <w:t>The Award of Japanese Society for Biomaterials</w:t>
      </w:r>
      <w:r w:rsidR="00C74E22">
        <w:rPr>
          <w:rFonts w:ascii="Arial"/>
          <w:sz w:val="14"/>
        </w:rPr>
        <w:t>”</w:t>
      </w:r>
      <w:r w:rsidR="00C74E22">
        <w:rPr>
          <w:rFonts w:ascii="Arial"/>
          <w:sz w:val="14"/>
        </w:rPr>
        <w:t>.</w:t>
      </w:r>
    </w:p>
    <w:p w:rsidR="00AE3E37" w:rsidRPr="00686E7B" w:rsidRDefault="00A9710C" w:rsidP="00686E7B">
      <w:pPr>
        <w:spacing w:before="62"/>
        <w:ind w:left="4217" w:right="4235"/>
        <w:jc w:val="center"/>
        <w:rPr>
          <w:rFonts w:ascii="Arial" w:eastAsiaTheme="minorEastAsia"/>
          <w:sz w:val="14"/>
          <w:lang w:eastAsia="ja-JP"/>
        </w:rPr>
      </w:pPr>
      <w:r>
        <w:rPr>
          <w:rFonts w:ascii="Arial"/>
          <w:sz w:val="14"/>
        </w:rPr>
        <w:t xml:space="preserve">Email: </w:t>
      </w:r>
      <w:r w:rsidR="001607CE">
        <w:rPr>
          <w:rFonts w:ascii="Arial" w:eastAsiaTheme="minorEastAsia" w:hint="eastAsia"/>
          <w:sz w:val="14"/>
          <w:lang w:eastAsia="ja-JP"/>
        </w:rPr>
        <w:t>ishikawa@dent.kyushu-u.ac.jp</w:t>
      </w:r>
      <w:r w:rsidR="00292ED9">
        <w:rPr>
          <w:noProof/>
          <w:lang w:eastAsia="ja-JP"/>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9126DE3" id="Line 3" o:spid="_x0000_s1026" style="position:absolute;left:0;text-align:left;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a3"/>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a3"/>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7110F" w:rsidRDefault="0057110F">
      <w:r>
        <w:separator/>
      </w:r>
    </w:p>
  </w:endnote>
  <w:endnote w:type="continuationSeparator" w:id="0">
    <w:p w:rsidR="0057110F" w:rsidRDefault="005711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ＭＳ 明朝">
    <w:altName w:val="MS Mincho"/>
    <w:panose1 w:val="02020609040205080304"/>
    <w:charset w:val="80"/>
    <w:family w:val="roman"/>
    <w:pitch w:val="fixed"/>
    <w:sig w:usb0="E00002FF" w:usb1="6AC7FDFB" w:usb2="00000012" w:usb3="00000000" w:csb0="0002009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60000287"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20000287"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Symbol">
    <w:panose1 w:val="05050102010706020507"/>
    <w:charset w:val="02"/>
    <w:family w:val="roman"/>
    <w:pitch w:val="variable"/>
    <w:sig w:usb0="00000000" w:usb1="10000000" w:usb2="00000000" w:usb3="00000000" w:csb0="80000000" w:csb1="00000000"/>
  </w:font>
  <w:font w:name="ＭＳ ゴシック">
    <w:altName w:val="MS Gothic"/>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a3"/>
      <w:spacing w:line="14" w:lineRule="auto"/>
      <w:rPr>
        <w:sz w:val="20"/>
      </w:rPr>
    </w:pPr>
    <w:r>
      <w:rPr>
        <w:noProof/>
        <w:lang w:eastAsia="ja-JP"/>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eastAsia="ja-JP"/>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eastAsia="ja-JP"/>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7110F" w:rsidRDefault="0057110F">
      <w:r>
        <w:separator/>
      </w:r>
    </w:p>
  </w:footnote>
  <w:footnote w:type="continuationSeparator" w:id="0">
    <w:p w:rsidR="0057110F" w:rsidRDefault="0057110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a3"/>
      <w:spacing w:line="14" w:lineRule="auto"/>
      <w:rPr>
        <w:sz w:val="20"/>
      </w:rPr>
    </w:pPr>
    <w:r>
      <w:rPr>
        <w:noProof/>
        <w:lang w:eastAsia="ja-JP"/>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eastAsia="ja-JP"/>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val="bestFit" w:percent="105"/>
  <w:bordersDoNotSurroundHeader/>
  <w:bordersDoNotSurroundFooter/>
  <w:proofState w:spelling="clean" w:grammar="clean"/>
  <w:defaultTabStop w:val="720"/>
  <w:drawingGridHorizontalSpacing w:val="110"/>
  <w:displayHorizontalDrawingGridEvery w:val="2"/>
  <w:characterSpacingControl w:val="doNotCompress"/>
  <w:hdrShapeDefaults>
    <o:shapedefaults v:ext="edit" spidmax="2049">
      <v:textbox inset="5.85pt,.7pt,5.85pt,.7pt"/>
    </o:shapedefaults>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E2911"/>
    <w:rsid w:val="001263DF"/>
    <w:rsid w:val="001607CE"/>
    <w:rsid w:val="00292ED9"/>
    <w:rsid w:val="0030109B"/>
    <w:rsid w:val="00332F9A"/>
    <w:rsid w:val="00404E5B"/>
    <w:rsid w:val="00414F7B"/>
    <w:rsid w:val="004355DC"/>
    <w:rsid w:val="004749B4"/>
    <w:rsid w:val="00494130"/>
    <w:rsid w:val="004F3523"/>
    <w:rsid w:val="0057110F"/>
    <w:rsid w:val="005973B9"/>
    <w:rsid w:val="005B3A56"/>
    <w:rsid w:val="006060CE"/>
    <w:rsid w:val="0063497F"/>
    <w:rsid w:val="00686E7B"/>
    <w:rsid w:val="00744362"/>
    <w:rsid w:val="00873DF0"/>
    <w:rsid w:val="008756E6"/>
    <w:rsid w:val="009B2D44"/>
    <w:rsid w:val="00A07E82"/>
    <w:rsid w:val="00A15A4E"/>
    <w:rsid w:val="00A9710C"/>
    <w:rsid w:val="00AE3E37"/>
    <w:rsid w:val="00B15270"/>
    <w:rsid w:val="00B21A57"/>
    <w:rsid w:val="00C33602"/>
    <w:rsid w:val="00C74E22"/>
    <w:rsid w:val="00CD6F55"/>
    <w:rsid w:val="00DE3104"/>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5:docId w15:val="{0B7584C4-7BD4-422D-B997-E69822078A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rsid w:val="00CD6F55"/>
    <w:rPr>
      <w:rFonts w:ascii="Tw Cen MT" w:eastAsia="Tw Cen MT" w:hAnsi="Tw Cen MT" w:cs="Tw Cen MT"/>
    </w:rPr>
  </w:style>
  <w:style w:type="paragraph" w:styleId="1">
    <w:name w:val="heading 1"/>
    <w:basedOn w:val="a"/>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2">
    <w:name w:val="heading 2"/>
    <w:basedOn w:val="a"/>
    <w:uiPriority w:val="1"/>
    <w:qFormat/>
    <w:rsid w:val="00CD6F55"/>
    <w:pPr>
      <w:ind w:left="100"/>
      <w:outlineLvl w:val="1"/>
    </w:pPr>
    <w:rPr>
      <w:rFonts w:ascii="Minion Pro" w:eastAsia="Minion Pro" w:hAnsi="Minion Pro" w:cs="Minion Pro"/>
      <w:sz w:val="24"/>
      <w:szCs w:val="24"/>
    </w:rPr>
  </w:style>
  <w:style w:type="paragraph" w:styleId="3">
    <w:name w:val="heading 3"/>
    <w:basedOn w:val="a"/>
    <w:uiPriority w:val="1"/>
    <w:qFormat/>
    <w:rsid w:val="00CD6F55"/>
    <w:pPr>
      <w:ind w:left="100"/>
      <w:outlineLvl w:val="2"/>
    </w:pPr>
    <w:rPr>
      <w:rFonts w:ascii="Arial" w:eastAsia="Arial" w:hAnsi="Arial" w:cs="Arial"/>
      <w:b/>
      <w:bCs/>
      <w:sz w:val="20"/>
      <w:szCs w:val="20"/>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qFormat/>
    <w:rsid w:val="00CD6F55"/>
    <w:rPr>
      <w:sz w:val="18"/>
      <w:szCs w:val="18"/>
    </w:rPr>
  </w:style>
  <w:style w:type="paragraph" w:styleId="a5">
    <w:name w:val="List Paragraph"/>
    <w:basedOn w:val="a"/>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a"/>
    <w:uiPriority w:val="1"/>
    <w:qFormat/>
    <w:rsid w:val="00CD6F55"/>
  </w:style>
  <w:style w:type="paragraph" w:styleId="a6">
    <w:name w:val="header"/>
    <w:basedOn w:val="a"/>
    <w:link w:val="a7"/>
    <w:uiPriority w:val="99"/>
    <w:unhideWhenUsed/>
    <w:rsid w:val="005B3A56"/>
    <w:pPr>
      <w:tabs>
        <w:tab w:val="center" w:pos="4513"/>
        <w:tab w:val="right" w:pos="9026"/>
      </w:tabs>
    </w:pPr>
  </w:style>
  <w:style w:type="character" w:customStyle="1" w:styleId="a7">
    <w:name w:val="ヘッダー (文字)"/>
    <w:basedOn w:val="a0"/>
    <w:link w:val="a6"/>
    <w:uiPriority w:val="99"/>
    <w:rsid w:val="005B3A56"/>
    <w:rPr>
      <w:rFonts w:ascii="Tw Cen MT" w:eastAsia="Tw Cen MT" w:hAnsi="Tw Cen MT" w:cs="Tw Cen MT"/>
    </w:rPr>
  </w:style>
  <w:style w:type="paragraph" w:styleId="a8">
    <w:name w:val="footer"/>
    <w:basedOn w:val="a"/>
    <w:link w:val="a9"/>
    <w:uiPriority w:val="99"/>
    <w:unhideWhenUsed/>
    <w:rsid w:val="005B3A56"/>
    <w:pPr>
      <w:tabs>
        <w:tab w:val="center" w:pos="4513"/>
        <w:tab w:val="right" w:pos="9026"/>
      </w:tabs>
    </w:pPr>
  </w:style>
  <w:style w:type="character" w:customStyle="1" w:styleId="a9">
    <w:name w:val="フッター (文字)"/>
    <w:basedOn w:val="a0"/>
    <w:link w:val="a8"/>
    <w:uiPriority w:val="99"/>
    <w:rsid w:val="005B3A56"/>
    <w:rPr>
      <w:rFonts w:ascii="Tw Cen MT" w:eastAsia="Tw Cen MT" w:hAnsi="Tw Cen MT" w:cs="Tw Cen MT"/>
    </w:rPr>
  </w:style>
  <w:style w:type="paragraph" w:styleId="aa">
    <w:name w:val="Balloon Text"/>
    <w:basedOn w:val="a"/>
    <w:link w:val="ab"/>
    <w:uiPriority w:val="99"/>
    <w:semiHidden/>
    <w:unhideWhenUsed/>
    <w:rsid w:val="004F3523"/>
    <w:rPr>
      <w:rFonts w:ascii="Tahoma" w:hAnsi="Tahoma" w:cs="Tahoma"/>
      <w:sz w:val="16"/>
      <w:szCs w:val="16"/>
    </w:rPr>
  </w:style>
  <w:style w:type="character" w:customStyle="1" w:styleId="ab">
    <w:name w:val="吹き出し (文字)"/>
    <w:basedOn w:val="a0"/>
    <w:link w:val="aa"/>
    <w:uiPriority w:val="99"/>
    <w:semiHidden/>
    <w:rsid w:val="004F3523"/>
    <w:rPr>
      <w:rFonts w:ascii="Tahoma" w:eastAsia="Tw Cen MT" w:hAnsi="Tahoma" w:cs="Tahoma"/>
      <w:sz w:val="16"/>
      <w:szCs w:val="16"/>
    </w:rPr>
  </w:style>
  <w:style w:type="character" w:styleId="ac">
    <w:name w:val="Hyperlink"/>
    <w:basedOn w:val="a0"/>
    <w:uiPriority w:val="99"/>
    <w:unhideWhenUsed/>
    <w:rsid w:val="008756E6"/>
    <w:rPr>
      <w:color w:val="0000FF" w:themeColor="hyperlink"/>
      <w:u w:val="single"/>
    </w:rPr>
  </w:style>
  <w:style w:type="character" w:customStyle="1" w:styleId="a4">
    <w:name w:val="本文 (文字)"/>
    <w:basedOn w:val="a0"/>
    <w:link w:val="a3"/>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jpeg"/><Relationship Id="rId5" Type="http://schemas.openxmlformats.org/officeDocument/2006/relationships/footnotes" Target="footnotes.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image" Target="media/image1.png"/></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60</TotalTime>
  <Pages>1</Pages>
  <Words>514</Words>
  <Characters>2935</Characters>
  <Application>Microsoft Office Word</Application>
  <DocSecurity>0</DocSecurity>
  <Lines>24</Lines>
  <Paragraphs>6</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3443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Kunio</cp:lastModifiedBy>
  <cp:revision>4</cp:revision>
  <dcterms:created xsi:type="dcterms:W3CDTF">2018-01-30T10:14:00Z</dcterms:created>
  <dcterms:modified xsi:type="dcterms:W3CDTF">2018-01-30T12:27:00Z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