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560" w:firstLineChars="200"/>
        <w:jc w:val="both"/>
        <w:rPr>
          <w:rFonts w:hint="default" w:ascii="Times New Roman" w:hAnsi="Times New Roman" w:eastAsia="Georgia" w:cs="Times New Roman"/>
          <w:b/>
          <w:bCs/>
          <w:i w:val="0"/>
          <w:iCs w:val="0"/>
          <w:caps w:val="0"/>
          <w:color w:val="2E2E2E"/>
          <w:spacing w:val="0"/>
          <w:sz w:val="28"/>
          <w:szCs w:val="28"/>
          <w:lang w:val="en-IN"/>
        </w:rPr>
      </w:pPr>
      <w:r>
        <w:rPr>
          <w:rFonts w:hint="default" w:ascii="Times New Roman" w:hAnsi="Times New Roman" w:eastAsia="Georgia" w:cs="Times New Roman"/>
          <w:b/>
          <w:bCs/>
          <w:i w:val="0"/>
          <w:iCs w:val="0"/>
          <w:caps w:val="0"/>
          <w:color w:val="2E2E2E"/>
          <w:spacing w:val="0"/>
          <w:sz w:val="28"/>
          <w:szCs w:val="28"/>
          <w:lang w:val="en-IN"/>
        </w:rPr>
        <w:t>Biomarkers in Covid-19 disease progression</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b w:val="0"/>
          <w:bCs w:val="0"/>
          <w:i w:val="0"/>
          <w:iCs w:val="0"/>
          <w:caps w:val="0"/>
          <w:color w:val="2E2E2E"/>
          <w:spacing w:val="0"/>
          <w:sz w:val="24"/>
          <w:szCs w:val="24"/>
          <w:lang w:val="en-IN"/>
        </w:rPr>
      </w:pPr>
      <w:r>
        <w:rPr>
          <w:rFonts w:hint="default" w:ascii="Times New Roman" w:hAnsi="Times New Roman" w:eastAsia="Georgia" w:cs="Times New Roman"/>
          <w:b w:val="0"/>
          <w:bCs w:val="0"/>
          <w:i w:val="0"/>
          <w:iCs w:val="0"/>
          <w:caps w:val="0"/>
          <w:color w:val="2E2E2E"/>
          <w:spacing w:val="0"/>
          <w:sz w:val="24"/>
          <w:szCs w:val="24"/>
          <w:lang w:val="en-IN"/>
        </w:rPr>
        <w:t>Ramachandran Muthiah</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40" w:firstLineChars="200"/>
        <w:jc w:val="both"/>
        <w:rPr>
          <w:rFonts w:hint="default" w:ascii="Times New Roman" w:hAnsi="Times New Roman" w:eastAsia="Georgia" w:cs="Times New Roman"/>
          <w:i w:val="0"/>
          <w:iCs w:val="0"/>
          <w:caps w:val="0"/>
          <w:color w:val="2E2E2E"/>
          <w:spacing w:val="0"/>
          <w:sz w:val="24"/>
          <w:szCs w:val="24"/>
        </w:rPr>
      </w:pPr>
      <w:r>
        <w:rPr>
          <w:rFonts w:hint="default" w:ascii="Times New Roman" w:hAnsi="Times New Roman" w:eastAsia="Georgia" w:cs="Times New Roman"/>
          <w:b w:val="0"/>
          <w:bCs w:val="0"/>
          <w:i w:val="0"/>
          <w:iCs w:val="0"/>
          <w:caps w:val="0"/>
          <w:color w:val="2E2E2E"/>
          <w:spacing w:val="0"/>
          <w:sz w:val="22"/>
          <w:szCs w:val="22"/>
          <w:lang w:val="en-IN"/>
        </w:rPr>
        <w:t>Morning star hospital, Marthandam, Kanyakumari District, Tamil nadu state, India</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Arial" w:cs="Times New Roman"/>
          <w:i w:val="0"/>
          <w:iCs w:val="0"/>
          <w:caps w:val="0"/>
          <w:color w:val="333333"/>
          <w:spacing w:val="0"/>
          <w:sz w:val="24"/>
          <w:szCs w:val="24"/>
          <w:shd w:val="clear" w:fill="FFFFFF"/>
        </w:rPr>
      </w:pPr>
      <w:r>
        <w:rPr>
          <w:rFonts w:hint="default" w:ascii="Times New Roman" w:hAnsi="Times New Roman" w:eastAsia="Georgia" w:cs="Times New Roman"/>
          <w:i w:val="0"/>
          <w:iCs w:val="0"/>
          <w:caps w:val="0"/>
          <w:color w:val="2E2E2E"/>
          <w:spacing w:val="0"/>
          <w:sz w:val="24"/>
          <w:szCs w:val="24"/>
        </w:rPr>
        <w:t xml:space="preserve">The heterogeneous disease course of COVID-19 is unpredictable and up to 17% </w:t>
      </w:r>
      <w:r>
        <w:rPr>
          <w:rFonts w:hint="default" w:ascii="Times New Roman" w:hAnsi="Times New Roman" w:eastAsia="Georgia" w:cs="Times New Roman"/>
          <w:i w:val="0"/>
          <w:iCs w:val="0"/>
          <w:caps w:val="0"/>
          <w:color w:val="2E2E2E"/>
          <w:spacing w:val="0"/>
          <w:sz w:val="24"/>
          <w:szCs w:val="24"/>
          <w:lang w:val="en-IN"/>
        </w:rPr>
        <w:t xml:space="preserve">need </w:t>
      </w:r>
      <w:r>
        <w:rPr>
          <w:rFonts w:hint="default" w:ascii="Times New Roman" w:hAnsi="Times New Roman" w:eastAsia="Georgia" w:cs="Times New Roman"/>
          <w:i w:val="0"/>
          <w:iCs w:val="0"/>
          <w:caps w:val="0"/>
          <w:color w:val="2E2E2E"/>
          <w:spacing w:val="0"/>
          <w:sz w:val="24"/>
          <w:szCs w:val="24"/>
        </w:rPr>
        <w:t>intensive care support for acute respiratory distress syndrome (ARDS), hyperinflammation and multiorgan failure</w:t>
      </w:r>
      <w:r>
        <w:rPr>
          <w:rFonts w:hint="default" w:ascii="Times New Roman" w:hAnsi="Times New Roman" w:eastAsia="Georgia" w:cs="Times New Roman"/>
          <w:i w:val="0"/>
          <w:iCs w:val="0"/>
          <w:caps w:val="0"/>
          <w:color w:val="2E2E2E"/>
          <w:spacing w:val="0"/>
          <w:sz w:val="24"/>
          <w:szCs w:val="24"/>
          <w:lang w:val="en-IN"/>
        </w:rPr>
        <w:t>.</w:t>
      </w:r>
      <w:r>
        <w:rPr>
          <w:rFonts w:hint="default"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333333"/>
          <w:spacing w:val="0"/>
          <w:sz w:val="24"/>
          <w:szCs w:val="24"/>
          <w:shd w:val="clear" w:fill="FFFFFF"/>
          <w:lang w:val="en-IN"/>
        </w:rPr>
        <w:t>A</w:t>
      </w:r>
      <w:r>
        <w:rPr>
          <w:rFonts w:hint="default" w:ascii="Times New Roman" w:hAnsi="Times New Roman" w:eastAsia="Georgia" w:cs="Times New Roman"/>
          <w:i w:val="0"/>
          <w:iCs w:val="0"/>
          <w:caps w:val="0"/>
          <w:color w:val="333333"/>
          <w:spacing w:val="0"/>
          <w:sz w:val="24"/>
          <w:szCs w:val="24"/>
          <w:shd w:val="clear" w:fill="FFFFFF"/>
        </w:rPr>
        <w:t>n immune dysfunction with a hyperactivity of T lymphocytes and the release of pro</w:t>
      </w:r>
      <w:r>
        <w:rPr>
          <w:rFonts w:hint="default"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xml:space="preserve">inflammatory cytokines including IL-2, IL-6, IL-7, MCP1, and TNF alpha, which contributes to increase </w:t>
      </w:r>
      <w:r>
        <w:rPr>
          <w:rFonts w:hint="default" w:ascii="Times New Roman" w:hAnsi="Times New Roman" w:eastAsia="Georgia" w:cs="Times New Roman"/>
          <w:i w:val="0"/>
          <w:iCs w:val="0"/>
          <w:caps w:val="0"/>
          <w:color w:val="333333"/>
          <w:spacing w:val="0"/>
          <w:sz w:val="24"/>
          <w:szCs w:val="24"/>
          <w:shd w:val="clear" w:fill="FFFFFF"/>
          <w:lang w:val="en-IN"/>
        </w:rPr>
        <w:t xml:space="preserve">in </w:t>
      </w:r>
      <w:r>
        <w:rPr>
          <w:rFonts w:hint="default" w:ascii="Times New Roman" w:hAnsi="Times New Roman" w:eastAsia="Georgia" w:cs="Times New Roman"/>
          <w:i w:val="0"/>
          <w:iCs w:val="0"/>
          <w:caps w:val="0"/>
          <w:color w:val="333333"/>
          <w:spacing w:val="0"/>
          <w:sz w:val="24"/>
          <w:szCs w:val="24"/>
          <w:shd w:val="clear" w:fill="FFFFFF"/>
        </w:rPr>
        <w:t>classical inflammatory biomarkers such as PCT and CRP</w:t>
      </w:r>
      <w:r>
        <w:rPr>
          <w:rFonts w:hint="default"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2E2E2E"/>
          <w:spacing w:val="0"/>
          <w:sz w:val="24"/>
          <w:szCs w:val="24"/>
        </w:rPr>
        <w:t>A cut-off of 3.27 pg/ml for IL-6</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a 37 mg/l for CRP</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in</w:t>
      </w:r>
      <w:r>
        <w:rPr>
          <w:rFonts w:hint="default" w:ascii="Times New Roman" w:hAnsi="Times New Roman" w:eastAsia="Georgia" w:cs="Times New Roman"/>
          <w:i w:val="0"/>
          <w:iCs w:val="0"/>
          <w:caps w:val="0"/>
          <w:color w:val="2E2E2E"/>
          <w:spacing w:val="0"/>
          <w:sz w:val="24"/>
          <w:szCs w:val="24"/>
          <w:lang w:val="en-IN"/>
        </w:rPr>
        <w:t>dicate</w:t>
      </w:r>
      <w:r>
        <w:rPr>
          <w:rFonts w:hint="default" w:ascii="Times New Roman" w:hAnsi="Times New Roman" w:eastAsia="Georgia" w:cs="Times New Roman"/>
          <w:i w:val="0"/>
          <w:iCs w:val="0"/>
          <w:caps w:val="0"/>
          <w:color w:val="2E2E2E"/>
          <w:spacing w:val="0"/>
          <w:sz w:val="24"/>
          <w:szCs w:val="24"/>
        </w:rPr>
        <w:t xml:space="preserve"> requirement of intubation</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The </w:t>
      </w:r>
      <w:bookmarkStart w:id="0" w:name="_GoBack"/>
      <w:bookmarkEnd w:id="0"/>
      <w:r>
        <w:rPr>
          <w:rFonts w:hint="default" w:ascii="Times New Roman" w:hAnsi="Times New Roman" w:eastAsia="Georgia" w:cs="Times New Roman"/>
          <w:i w:val="0"/>
          <w:iCs w:val="0"/>
          <w:caps w:val="0"/>
          <w:color w:val="2E2E2E"/>
          <w:spacing w:val="0"/>
          <w:sz w:val="24"/>
          <w:szCs w:val="24"/>
        </w:rPr>
        <w:t>binding of COVID-19 to the Toll Like Receptor (TLR) and production of active IL-1β which is a mediator of lung inflammation, fever and fibrosis</w:t>
      </w:r>
      <w:r>
        <w:rPr>
          <w:rFonts w:hint="default"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w:t>
      </w:r>
      <w:r>
        <w:rPr>
          <w:rFonts w:hint="default" w:eastAsia="Georgia" w:cs="Times New Roman"/>
          <w:i w:val="0"/>
          <w:iCs w:val="0"/>
          <w:caps w:val="0"/>
          <w:color w:val="2E2E2E"/>
          <w:spacing w:val="0"/>
          <w:sz w:val="24"/>
          <w:szCs w:val="24"/>
          <w:lang w:val="en-IN"/>
        </w:rPr>
        <w:t>I</w:t>
      </w:r>
      <w:r>
        <w:rPr>
          <w:rFonts w:hint="default" w:ascii="Times New Roman" w:hAnsi="Times New Roman" w:eastAsia="Georgia" w:cs="Times New Roman"/>
          <w:i w:val="0"/>
          <w:iCs w:val="0"/>
          <w:caps w:val="0"/>
          <w:color w:val="2E2E2E"/>
          <w:spacing w:val="0"/>
          <w:sz w:val="24"/>
          <w:szCs w:val="24"/>
        </w:rPr>
        <w:t>nitial trials of the IL-1β antagonist Anakinra appear to reduce the need for mechanical ventilation and mortality in severe cases</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333333"/>
          <w:spacing w:val="0"/>
          <w:sz w:val="24"/>
          <w:szCs w:val="24"/>
          <w:shd w:val="clear" w:fill="FFFFFF"/>
        </w:rPr>
        <w:t xml:space="preserve"> </w:t>
      </w:r>
      <w:r>
        <w:rPr>
          <w:rFonts w:hint="default" w:eastAsia="Georgia" w:cs="Times New Roman"/>
          <w:i w:val="0"/>
          <w:iCs w:val="0"/>
          <w:caps w:val="0"/>
          <w:color w:val="333333"/>
          <w:spacing w:val="0"/>
          <w:sz w:val="24"/>
          <w:szCs w:val="24"/>
          <w:shd w:val="clear" w:fill="FFFFFF"/>
          <w:lang w:val="en-IN"/>
        </w:rPr>
        <w:t>E</w:t>
      </w:r>
      <w:r>
        <w:rPr>
          <w:rFonts w:hint="default" w:ascii="Times New Roman" w:hAnsi="Times New Roman" w:eastAsia="Georgia" w:cs="Times New Roman"/>
          <w:i w:val="0"/>
          <w:iCs w:val="0"/>
          <w:caps w:val="0"/>
          <w:color w:val="333333"/>
          <w:spacing w:val="0"/>
          <w:sz w:val="24"/>
          <w:szCs w:val="24"/>
          <w:shd w:val="clear" w:fill="FFFFFF"/>
        </w:rPr>
        <w:t>levated levels of biomarkers of cardiomyocytes injury such as Troponin I, CK-MB, CK</w:t>
      </w:r>
      <w:r>
        <w:rPr>
          <w:rFonts w:hint="default"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xml:space="preserve"> myoglobin</w:t>
      </w:r>
      <w:r>
        <w:rPr>
          <w:rFonts w:hint="default" w:eastAsia="Georgia" w:cs="Times New Roman"/>
          <w:i w:val="0"/>
          <w:iCs w:val="0"/>
          <w:caps w:val="0"/>
          <w:color w:val="333333"/>
          <w:spacing w:val="0"/>
          <w:sz w:val="24"/>
          <w:szCs w:val="24"/>
          <w:shd w:val="clear" w:fill="FFFFFF"/>
          <w:lang w:val="en-IN"/>
        </w:rPr>
        <w:t xml:space="preserve"> and h</w:t>
      </w:r>
      <w:r>
        <w:rPr>
          <w:rFonts w:hint="default" w:ascii="Times New Roman" w:hAnsi="Times New Roman" w:eastAsia="Georgia" w:cs="Times New Roman"/>
          <w:i w:val="0"/>
          <w:iCs w:val="0"/>
          <w:caps w:val="0"/>
          <w:color w:val="333333"/>
          <w:spacing w:val="0"/>
          <w:sz w:val="24"/>
          <w:szCs w:val="24"/>
          <w:shd w:val="clear" w:fill="FFFFFF"/>
        </w:rPr>
        <w:t>ematological changes</w:t>
      </w:r>
      <w:r>
        <w:rPr>
          <w:rFonts w:hint="default" w:eastAsia="Georgia" w:cs="Times New Roman"/>
          <w:i w:val="0"/>
          <w:iCs w:val="0"/>
          <w:caps w:val="0"/>
          <w:color w:val="333333"/>
          <w:spacing w:val="0"/>
          <w:sz w:val="24"/>
          <w:szCs w:val="24"/>
          <w:shd w:val="clear" w:fill="FFFFFF"/>
          <w:lang w:val="en-IN"/>
        </w:rPr>
        <w:t xml:space="preserve"> such as</w:t>
      </w:r>
      <w:r>
        <w:rPr>
          <w:rFonts w:hint="default" w:ascii="Times New Roman" w:hAnsi="Times New Roman" w:eastAsia="Georgia" w:cs="Times New Roman"/>
          <w:i w:val="0"/>
          <w:iCs w:val="0"/>
          <w:caps w:val="0"/>
          <w:color w:val="333333"/>
          <w:spacing w:val="0"/>
          <w:sz w:val="24"/>
          <w:szCs w:val="24"/>
          <w:shd w:val="clear" w:fill="FFFFFF"/>
        </w:rPr>
        <w:t xml:space="preserve"> lymphopenia</w:t>
      </w:r>
      <w:r>
        <w:rPr>
          <w:rFonts w:hint="default"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xml:space="preserve"> thrombocytopen</w:t>
      </w:r>
      <w:r>
        <w:rPr>
          <w:rFonts w:hint="default" w:eastAsia="Georgia" w:cs="Times New Roman"/>
          <w:i w:val="0"/>
          <w:iCs w:val="0"/>
          <w:caps w:val="0"/>
          <w:color w:val="333333"/>
          <w:spacing w:val="0"/>
          <w:sz w:val="24"/>
          <w:szCs w:val="24"/>
          <w:shd w:val="clear" w:fill="FFFFFF"/>
          <w:lang w:val="en-IN"/>
        </w:rPr>
        <w:t>ia, a</w:t>
      </w:r>
      <w:r>
        <w:rPr>
          <w:rFonts w:hint="default" w:ascii="Times New Roman" w:hAnsi="Times New Roman" w:eastAsia="Georgia" w:cs="Times New Roman"/>
          <w:i w:val="0"/>
          <w:iCs w:val="0"/>
          <w:caps w:val="0"/>
          <w:color w:val="333333"/>
          <w:spacing w:val="0"/>
          <w:sz w:val="24"/>
          <w:szCs w:val="24"/>
          <w:shd w:val="clear" w:fill="FCFCFC"/>
        </w:rPr>
        <w:t xml:space="preserve">nemia, increased neutrophil-to-lymphocyte ratio (&gt; 8), platelet-to-lymphocyte ratio (&gt; 192), and D-dimer level (&gt; 0.9 mg\L) </w:t>
      </w:r>
      <w:r>
        <w:rPr>
          <w:rFonts w:hint="default" w:eastAsia="Georgia" w:cs="Times New Roman"/>
          <w:i w:val="0"/>
          <w:iCs w:val="0"/>
          <w:caps w:val="0"/>
          <w:color w:val="333333"/>
          <w:spacing w:val="0"/>
          <w:sz w:val="24"/>
          <w:szCs w:val="24"/>
          <w:shd w:val="clear" w:fill="FCFCFC"/>
          <w:lang w:val="en-IN"/>
        </w:rPr>
        <w:t xml:space="preserve">are </w:t>
      </w:r>
      <w:r>
        <w:rPr>
          <w:rFonts w:hint="default" w:ascii="Times New Roman" w:hAnsi="Times New Roman" w:eastAsia="Georgia" w:cs="Times New Roman"/>
          <w:i w:val="0"/>
          <w:iCs w:val="0"/>
          <w:caps w:val="0"/>
          <w:color w:val="333333"/>
          <w:spacing w:val="0"/>
          <w:sz w:val="24"/>
          <w:szCs w:val="24"/>
          <w:shd w:val="clear" w:fill="FCFCFC"/>
        </w:rPr>
        <w:t>predictors for severe COVID-19 infection</w:t>
      </w:r>
      <w:r>
        <w:rPr>
          <w:rFonts w:hint="default" w:eastAsia="Georgia" w:cs="Times New Roman"/>
          <w:i w:val="0"/>
          <w:iCs w:val="0"/>
          <w:caps w:val="0"/>
          <w:color w:val="333333"/>
          <w:spacing w:val="0"/>
          <w:sz w:val="24"/>
          <w:szCs w:val="24"/>
          <w:shd w:val="clear" w:fill="FCFCFC"/>
          <w:lang w:val="en-IN"/>
        </w:rPr>
        <w:t xml:space="preserve">. </w:t>
      </w:r>
      <w:r>
        <w:rPr>
          <w:rFonts w:hint="default" w:ascii="Times New Roman" w:hAnsi="Times New Roman" w:eastAsia="Georgia" w:cs="Times New Roman"/>
          <w:i w:val="0"/>
          <w:iCs w:val="0"/>
          <w:caps w:val="0"/>
          <w:color w:val="3E3D40"/>
          <w:spacing w:val="0"/>
          <w:sz w:val="24"/>
          <w:szCs w:val="24"/>
          <w:shd w:val="clear" w:fill="FFFFFF"/>
        </w:rPr>
        <w:t xml:space="preserve">Treatment with low molecular weight heparin (LMWH) is associated with reduction in levels of </w:t>
      </w:r>
      <w:r>
        <w:rPr>
          <w:rFonts w:hint="default" w:ascii="Times New Roman" w:hAnsi="Times New Roman" w:eastAsia="Georgia" w:cs="Times New Roman"/>
          <w:i w:val="0"/>
          <w:iCs w:val="0"/>
          <w:caps w:val="0"/>
          <w:color w:val="3E3D40"/>
          <w:spacing w:val="0"/>
          <w:sz w:val="24"/>
          <w:szCs w:val="24"/>
          <w:shd w:val="clear" w:fill="FFFFFF"/>
          <w:lang w:val="en-IN"/>
        </w:rPr>
        <w:t>D</w:t>
      </w:r>
      <w:r>
        <w:rPr>
          <w:rFonts w:hint="default" w:ascii="Times New Roman" w:hAnsi="Times New Roman" w:eastAsia="Georgia" w:cs="Times New Roman"/>
          <w:i w:val="0"/>
          <w:iCs w:val="0"/>
          <w:caps w:val="0"/>
          <w:color w:val="3E3D40"/>
          <w:spacing w:val="0"/>
          <w:sz w:val="24"/>
          <w:szCs w:val="24"/>
          <w:shd w:val="clear" w:fill="FFFFFF"/>
        </w:rPr>
        <w:t>-dimer</w:t>
      </w:r>
      <w:r>
        <w:rPr>
          <w:rFonts w:hint="default" w:ascii="Times New Roman" w:hAnsi="Times New Roman" w:eastAsia="Georgia" w:cs="Times New Roman"/>
          <w:i w:val="0"/>
          <w:iCs w:val="0"/>
          <w:caps w:val="0"/>
          <w:color w:val="3E3D40"/>
          <w:spacing w:val="0"/>
          <w:sz w:val="24"/>
          <w:szCs w:val="24"/>
          <w:shd w:val="clear" w:fill="FFFFFF"/>
          <w:lang w:val="en-IN"/>
        </w:rPr>
        <w:t>,</w:t>
      </w:r>
      <w:r>
        <w:rPr>
          <w:rFonts w:hint="default" w:ascii="Times New Roman" w:hAnsi="Times New Roman" w:eastAsia="Georgia" w:cs="Times New Roman"/>
          <w:i w:val="0"/>
          <w:iCs w:val="0"/>
          <w:caps w:val="0"/>
          <w:color w:val="3E3D40"/>
          <w:spacing w:val="0"/>
          <w:sz w:val="24"/>
          <w:szCs w:val="24"/>
          <w:shd w:val="clear" w:fill="FFFFFF"/>
        </w:rPr>
        <w:t xml:space="preserve"> fibrin degradation products and also in IL-6 levels suggesting a potential anti-inflammatory effect.</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Tocilizumab has been considered</w:t>
      </w:r>
      <w:r>
        <w:rPr>
          <w:rFonts w:hint="default" w:eastAsia="Georgia" w:cs="Times New Roman"/>
          <w:i w:val="0"/>
          <w:iCs w:val="0"/>
          <w:caps w:val="0"/>
          <w:color w:val="3E3D40"/>
          <w:spacing w:val="0"/>
          <w:sz w:val="24"/>
          <w:szCs w:val="24"/>
          <w:shd w:val="clear" w:fill="FFFFFF"/>
          <w:lang w:val="en-IN"/>
        </w:rPr>
        <w:t xml:space="preserve"> in</w:t>
      </w:r>
      <w:r>
        <w:rPr>
          <w:rFonts w:hint="default" w:ascii="Times New Roman" w:hAnsi="Times New Roman" w:eastAsia="Georgia" w:cs="Times New Roman"/>
          <w:i w:val="0"/>
          <w:iCs w:val="0"/>
          <w:caps w:val="0"/>
          <w:color w:val="3E3D40"/>
          <w:spacing w:val="0"/>
          <w:sz w:val="24"/>
          <w:szCs w:val="24"/>
          <w:shd w:val="clear" w:fill="FFFFFF"/>
        </w:rPr>
        <w:t xml:space="preserve"> extensive lung disease with elevated IL-6 level</w:t>
      </w:r>
      <w:r>
        <w:rPr>
          <w:rFonts w:hint="default" w:eastAsia="Georgia" w:cs="Times New Roman"/>
          <w:i w:val="0"/>
          <w:iCs w:val="0"/>
          <w:caps w:val="0"/>
          <w:color w:val="3E3D40"/>
          <w:spacing w:val="0"/>
          <w:sz w:val="24"/>
          <w:szCs w:val="24"/>
          <w:shd w:val="clear" w:fill="FFFFFF"/>
          <w:lang w:val="en-IN"/>
        </w:rPr>
        <w:t>,</w:t>
      </w:r>
      <w:r>
        <w:rPr>
          <w:rFonts w:hint="default" w:ascii="Times New Roman" w:hAnsi="Times New Roman" w:eastAsia="Georgia" w:cs="Times New Roman"/>
          <w:i w:val="0"/>
          <w:iCs w:val="0"/>
          <w:caps w:val="0"/>
          <w:color w:val="3E3D40"/>
          <w:spacing w:val="0"/>
          <w:sz w:val="24"/>
          <w:szCs w:val="24"/>
          <w:shd w:val="clear" w:fill="FFFFFF"/>
        </w:rPr>
        <w:t> </w:t>
      </w:r>
      <w:r>
        <w:rPr>
          <w:rFonts w:hint="default" w:ascii="Times New Roman" w:hAnsi="Times New Roman" w:eastAsia="Segoe UI" w:cs="Times New Roman"/>
          <w:i w:val="0"/>
          <w:iCs w:val="0"/>
          <w:caps w:val="0"/>
          <w:color w:val="212121"/>
          <w:spacing w:val="0"/>
          <w:sz w:val="24"/>
          <w:szCs w:val="24"/>
          <w:shd w:val="clear" w:fill="FFFFFF"/>
        </w:rPr>
        <w:t>COVID-19 severity is associated with lower serum concentrations of sodium, potassium and calcium.</w:t>
      </w:r>
      <w:r>
        <w:rPr>
          <w:rFonts w:hint="default" w:ascii="Times New Roman" w:hAnsi="Times New Roman" w:eastAsia="SimSun" w:cs="Times New Roman"/>
          <w:i w:val="0"/>
          <w:iCs w:val="0"/>
          <w:caps w:val="0"/>
          <w:color w:val="202124"/>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Ferritin is a key mediator of immune dysregulation</w:t>
      </w:r>
      <w:r>
        <w:rPr>
          <w:rFonts w:hint="default" w:cs="Times New Roman"/>
          <w:i w:val="0"/>
          <w:iCs w:val="0"/>
          <w:caps w:val="0"/>
          <w:color w:val="000000"/>
          <w:spacing w:val="0"/>
          <w:sz w:val="24"/>
          <w:szCs w:val="24"/>
          <w:shd w:val="clear" w:fill="FFFFFF"/>
          <w:lang w:val="en-IN"/>
        </w:rPr>
        <w:t xml:space="preserve"> and m</w:t>
      </w:r>
      <w:r>
        <w:rPr>
          <w:rFonts w:hint="default" w:ascii="Times New Roman" w:hAnsi="Times New Roman" w:eastAsia="SimSun" w:cs="Times New Roman"/>
          <w:i w:val="0"/>
          <w:iCs w:val="0"/>
          <w:caps w:val="0"/>
          <w:color w:val="000000"/>
          <w:spacing w:val="0"/>
          <w:sz w:val="24"/>
          <w:szCs w:val="24"/>
          <w:shd w:val="clear" w:fill="FFFFFF"/>
        </w:rPr>
        <w:t>any individuals with diabetes exhibit elevated levels</w:t>
      </w:r>
      <w:r>
        <w:rPr>
          <w:rFonts w:hint="default" w:cs="Times New Roman"/>
          <w:i w:val="0"/>
          <w:iCs w:val="0"/>
          <w:caps w:val="0"/>
          <w:color w:val="000000"/>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xml:space="preserve"> </w:t>
      </w:r>
      <w:r>
        <w:rPr>
          <w:rFonts w:hint="default" w:eastAsia="Georgia" w:cs="Times New Roman"/>
          <w:i w:val="0"/>
          <w:iCs w:val="0"/>
          <w:caps w:val="0"/>
          <w:color w:val="333333"/>
          <w:spacing w:val="0"/>
          <w:sz w:val="24"/>
          <w:szCs w:val="24"/>
          <w:shd w:val="clear" w:fill="FFFFFF"/>
          <w:lang w:val="en-IN"/>
        </w:rPr>
        <w:t>L</w:t>
      </w:r>
      <w:r>
        <w:rPr>
          <w:rFonts w:hint="default" w:ascii="Times New Roman" w:hAnsi="Times New Roman" w:eastAsia="Georgia" w:cs="Times New Roman"/>
          <w:i w:val="0"/>
          <w:iCs w:val="0"/>
          <w:caps w:val="0"/>
          <w:color w:val="333333"/>
          <w:spacing w:val="0"/>
          <w:sz w:val="24"/>
          <w:szCs w:val="24"/>
          <w:shd w:val="clear" w:fill="FFFFFF"/>
        </w:rPr>
        <w:t>iver biomarkers</w:t>
      </w:r>
      <w:r>
        <w:rPr>
          <w:rFonts w:hint="default"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 xml:space="preserve">(ASAT/ALAT, γ-GT, LDH) </w:t>
      </w:r>
      <w:r>
        <w:rPr>
          <w:rFonts w:hint="default" w:eastAsia="Georgia" w:cs="Times New Roman"/>
          <w:i w:val="0"/>
          <w:iCs w:val="0"/>
          <w:caps w:val="0"/>
          <w:color w:val="333333"/>
          <w:spacing w:val="0"/>
          <w:sz w:val="24"/>
          <w:szCs w:val="24"/>
          <w:shd w:val="clear" w:fill="FFFFFF"/>
          <w:lang w:val="en-IN"/>
        </w:rPr>
        <w:t>and</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w:t>
      </w:r>
      <w:r>
        <w:rPr>
          <w:rFonts w:hint="default" w:eastAsia="Georgia" w:cs="Times New Roman"/>
          <w:i w:val="0"/>
          <w:iCs w:val="0"/>
          <w:caps w:val="0"/>
          <w:color w:val="333333"/>
          <w:spacing w:val="0"/>
          <w:sz w:val="24"/>
          <w:szCs w:val="24"/>
          <w:shd w:val="clear" w:fill="FFFFFF"/>
          <w:lang w:val="en-IN"/>
        </w:rPr>
        <w:t>h</w:t>
      </w:r>
      <w:r>
        <w:rPr>
          <w:rFonts w:hint="default" w:ascii="Times New Roman" w:hAnsi="Times New Roman" w:eastAsia="Georgia" w:cs="Times New Roman"/>
          <w:i w:val="0"/>
          <w:iCs w:val="0"/>
          <w:caps w:val="0"/>
          <w:color w:val="333333"/>
          <w:spacing w:val="0"/>
          <w:sz w:val="24"/>
          <w:szCs w:val="24"/>
          <w:shd w:val="clear" w:fill="FFFFFF"/>
        </w:rPr>
        <w:t>igher levels of urea nitrogen and creatinine</w:t>
      </w:r>
      <w:r>
        <w:rPr>
          <w:rFonts w:hint="default" w:eastAsia="Georgia" w:cs="Times New Roman"/>
          <w:i w:val="0"/>
          <w:iCs w:val="0"/>
          <w:caps w:val="0"/>
          <w:color w:val="333333"/>
          <w:spacing w:val="0"/>
          <w:sz w:val="24"/>
          <w:szCs w:val="24"/>
          <w:shd w:val="clear" w:fill="FFFFFF"/>
          <w:lang w:val="en-IN"/>
        </w:rPr>
        <w:t xml:space="preserve"> occur</w:t>
      </w:r>
      <w:r>
        <w:rPr>
          <w:rFonts w:hint="default" w:ascii="Times New Roman" w:hAnsi="Times New Roman" w:eastAsia="Georgia" w:cs="Times New Roman"/>
          <w:i w:val="0"/>
          <w:iCs w:val="0"/>
          <w:caps w:val="0"/>
          <w:color w:val="333333"/>
          <w:spacing w:val="0"/>
          <w:sz w:val="24"/>
          <w:szCs w:val="24"/>
          <w:shd w:val="clear" w:fill="FFFFFF"/>
        </w:rPr>
        <w:t xml:space="preserve"> </w:t>
      </w:r>
      <w:r>
        <w:rPr>
          <w:rFonts w:hint="default" w:eastAsia="Georgia" w:cs="Times New Roman"/>
          <w:i w:val="0"/>
          <w:iCs w:val="0"/>
          <w:caps w:val="0"/>
          <w:color w:val="333333"/>
          <w:spacing w:val="0"/>
          <w:sz w:val="24"/>
          <w:szCs w:val="24"/>
          <w:shd w:val="clear" w:fill="FFFFFF"/>
          <w:lang w:val="en-IN"/>
        </w:rPr>
        <w:t xml:space="preserve">in </w:t>
      </w:r>
      <w:r>
        <w:rPr>
          <w:rFonts w:hint="default" w:ascii="Times New Roman" w:hAnsi="Times New Roman" w:eastAsia="Georgia" w:cs="Times New Roman"/>
          <w:i w:val="0"/>
          <w:iCs w:val="0"/>
          <w:caps w:val="0"/>
          <w:color w:val="333333"/>
          <w:spacing w:val="0"/>
          <w:sz w:val="24"/>
          <w:szCs w:val="24"/>
          <w:shd w:val="clear" w:fill="FFFFFF"/>
        </w:rPr>
        <w:t>severe cases</w:t>
      </w:r>
      <w:r>
        <w:rPr>
          <w:rFonts w:hint="default" w:eastAsia="Georgia" w:cs="Times New Roman"/>
          <w:i w:val="0"/>
          <w:iCs w:val="0"/>
          <w:caps w:val="0"/>
          <w:color w:val="333333"/>
          <w:spacing w:val="0"/>
          <w:sz w:val="24"/>
          <w:szCs w:val="24"/>
          <w:shd w:val="clear" w:fill="FFFFFF"/>
          <w:lang w:val="en-IN"/>
        </w:rPr>
        <w:t>.</w:t>
      </w:r>
      <w:r>
        <w:rPr>
          <w:rFonts w:hint="default" w:ascii="Times New Roman" w:hAnsi="Times New Roman" w:eastAsia="Arial" w:cs="Times New Roman"/>
          <w:i w:val="0"/>
          <w:iCs w:val="0"/>
          <w:caps w:val="0"/>
          <w:color w:val="333333"/>
          <w:spacing w:val="0"/>
          <w:sz w:val="24"/>
          <w:szCs w:val="24"/>
          <w:shd w:val="clear" w:fill="FFFFFF"/>
        </w:rPr>
        <w:t xml:space="preserve"> </w:t>
      </w:r>
      <w:r>
        <w:rPr>
          <w:rFonts w:hint="default" w:eastAsia="Arial" w:cs="Times New Roman"/>
          <w:i w:val="0"/>
          <w:iCs w:val="0"/>
          <w:caps w:val="0"/>
          <w:color w:val="333333"/>
          <w:spacing w:val="0"/>
          <w:sz w:val="24"/>
          <w:szCs w:val="24"/>
          <w:shd w:val="clear" w:fill="FFFFFF"/>
          <w:lang w:val="en-IN"/>
        </w:rPr>
        <w:t>I</w:t>
      </w:r>
      <w:r>
        <w:rPr>
          <w:rFonts w:hint="default" w:ascii="Times New Roman" w:hAnsi="Times New Roman" w:eastAsia="Arial" w:cs="Times New Roman"/>
          <w:i w:val="0"/>
          <w:iCs w:val="0"/>
          <w:caps w:val="0"/>
          <w:color w:val="333333"/>
          <w:spacing w:val="0"/>
          <w:sz w:val="24"/>
          <w:szCs w:val="24"/>
          <w:shd w:val="clear" w:fill="FFFFFF"/>
        </w:rPr>
        <w:t>mmunodominance shift could be detected by measuring five immune response markers: IgG1, IgM and IgA1 responses to S protein and antibody-dependent complement deposit, IgM and IgA2 response to N protein.</w:t>
      </w:r>
      <w:r>
        <w:rPr>
          <w:rFonts w:hint="default" w:eastAsia="Arial" w:cs="Times New Roman"/>
          <w:i w:val="0"/>
          <w:iCs w:val="0"/>
          <w:caps w:val="0"/>
          <w:color w:val="333333"/>
          <w:spacing w:val="0"/>
          <w:sz w:val="24"/>
          <w:szCs w:val="24"/>
          <w:shd w:val="clear" w:fill="FFFFFF"/>
          <w:lang w:val="en-IN"/>
        </w:rPr>
        <w:t xml:space="preserve"> F</w:t>
      </w:r>
      <w:r>
        <w:rPr>
          <w:rFonts w:hint="default" w:ascii="Times New Roman" w:hAnsi="Times New Roman" w:eastAsia="Georgia" w:cs="Times New Roman"/>
          <w:i w:val="0"/>
          <w:iCs w:val="0"/>
          <w:caps w:val="0"/>
          <w:color w:val="333333"/>
          <w:spacing w:val="0"/>
          <w:sz w:val="24"/>
          <w:szCs w:val="24"/>
          <w:shd w:val="clear" w:fill="FFFFFF"/>
        </w:rPr>
        <w:t>uture studies should explore novel biomarkers, such as non-coding RNAs or proteomics, for disease progression and severity</w:t>
      </w:r>
      <w:r>
        <w:rPr>
          <w:rFonts w:hint="default"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sans-serif" w:cs="Times New Roman"/>
          <w:i w:val="0"/>
          <w:iCs w:val="0"/>
          <w:caps w:val="0"/>
          <w:color w:val="505050"/>
          <w:spacing w:val="0"/>
          <w:sz w:val="24"/>
          <w:szCs w:val="24"/>
          <w:shd w:val="clear" w:fill="FFFFFF"/>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333333"/>
          <w:spacing w:val="0"/>
          <w:sz w:val="24"/>
          <w:szCs w:val="24"/>
          <w:shd w:val="clear" w:fill="FFFFFF"/>
          <w:lang w:val="en-IN"/>
        </w:rPr>
      </w:pPr>
      <w:r>
        <w:rPr>
          <w:rFonts w:ascii="SimSun" w:hAnsi="SimSun" w:eastAsia="SimSun" w:cs="SimSun"/>
          <w:sz w:val="24"/>
          <w:szCs w:val="24"/>
        </w:rPr>
        <w:drawing>
          <wp:inline distT="0" distB="0" distL="114300" distR="114300">
            <wp:extent cx="5866130" cy="4371340"/>
            <wp:effectExtent l="0" t="0" r="1270" b="1016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866130" cy="437134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2E2E2E"/>
          <w:spacing w:val="0"/>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jc w:val="both"/>
        <w:rPr>
          <w:rFonts w:hint="default"/>
          <w:color w:val="000000" w:themeColor="text1"/>
          <w:sz w:val="24"/>
          <w:szCs w:val="24"/>
          <w:lang w:val="en-IN"/>
          <w14:textFill>
            <w14:solidFill>
              <w14:schemeClr w14:val="tx1"/>
            </w14:solidFill>
          </w14:textFill>
        </w:rPr>
      </w:pPr>
    </w:p>
    <w:p>
      <w:pPr>
        <w:ind w:firstLine="217"/>
        <w:jc w:val="both"/>
        <w:rPr>
          <w:rFonts w:hint="default"/>
          <w:color w:val="000000" w:themeColor="text1"/>
          <w:sz w:val="24"/>
          <w:szCs w:val="24"/>
          <w:lang w:val="en-IN"/>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lang w:val="en-IN" w:eastAsia="en-IN" w:bidi="ta-IN"/>
        </w:rPr>
        <w:drawing>
          <wp:anchor distT="0" distB="0" distL="114300" distR="114300" simplePos="0" relativeHeight="251659264" behindDoc="0" locked="0" layoutInCell="1" allowOverlap="1">
            <wp:simplePos x="0" y="0"/>
            <wp:positionH relativeFrom="column">
              <wp:posOffset>4022090</wp:posOffset>
            </wp:positionH>
            <wp:positionV relativeFrom="paragraph">
              <wp:posOffset>-309245</wp:posOffset>
            </wp:positionV>
            <wp:extent cx="919480" cy="1007745"/>
            <wp:effectExtent l="0" t="0" r="13970" b="1905"/>
            <wp:wrapSquare wrapText="bothSides"/>
            <wp:docPr id="2" name="Picture 2"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pic:cNvPicPr>
                      <a:picLocks noChangeAspect="1"/>
                    </pic:cNvPicPr>
                  </pic:nvPicPr>
                  <pic:blipFill>
                    <a:blip r:embed="rId5"/>
                    <a:srcRect l="-4847" t="-6300"/>
                    <a:stretch>
                      <a:fillRect/>
                    </a:stretch>
                  </pic:blipFill>
                  <pic:spPr>
                    <a:xfrm>
                      <a:off x="0" y="0"/>
                      <a:ext cx="919480" cy="1007745"/>
                    </a:xfrm>
                    <a:prstGeom prst="rect">
                      <a:avLst/>
                    </a:prstGeom>
                  </pic:spPr>
                </pic:pic>
              </a:graphicData>
            </a:graphic>
          </wp:anchor>
        </w:drawing>
      </w: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4"/>
          <w:szCs w:val="24"/>
          <w:lang w:val="en-IN"/>
        </w:rPr>
        <w:t xml:space="preserve">MBBS in 1989 under Madurai Kamaraj University, </w:t>
      </w:r>
      <w:r>
        <w:rPr>
          <w:rFonts w:ascii="Times New Roman" w:hAnsi="Times New Roman" w:eastAsia="Times New Roman" w:cs="Times New Roman"/>
          <w:color w:val="333333"/>
          <w:sz w:val="24"/>
          <w:szCs w:val="24"/>
        </w:rPr>
        <w:t>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w:t>
      </w:r>
      <w:r>
        <w:rPr>
          <w:rFonts w:hint="default" w:ascii="Times New Roman" w:hAnsi="Times New Roman" w:eastAsia="Times New Roman" w:cs="Times New Roman"/>
          <w:color w:val="333333"/>
          <w:sz w:val="24"/>
          <w:szCs w:val="24"/>
          <w:lang w:val="en-IN"/>
        </w:rPr>
        <w:t>.</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ind w:firstLine="217"/>
        <w:jc w:val="both"/>
        <w:rPr>
          <w:rFonts w:hint="default"/>
          <w:color w:val="000000" w:themeColor="text1"/>
          <w:sz w:val="24"/>
          <w:szCs w:val="24"/>
          <w:lang w:val="en-IN"/>
          <w14:textFill>
            <w14:solidFill>
              <w14:schemeClr w14:val="tx1"/>
            </w14:solidFill>
          </w14:textFill>
        </w:rPr>
      </w:pP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100" w:firstLineChars="2050"/>
        <w:rPr>
          <w:rFonts w:hint="default"/>
          <w:lang w:val="en-IN"/>
        </w:rPr>
      </w:pPr>
      <w:r>
        <w:rPr>
          <w:rFonts w:hint="default"/>
          <w:lang w:val="en-IN"/>
        </w:rPr>
        <w:t>District, Tamil nadu state, India</w:t>
      </w:r>
    </w:p>
    <w:p>
      <w:pPr>
        <w:autoSpaceDE w:val="0"/>
        <w:autoSpaceDN w:val="0"/>
        <w:adjustRightInd w:val="0"/>
        <w:ind w:firstLine="4100" w:firstLineChars="2050"/>
        <w:rPr>
          <w:rFonts w:hint="default"/>
          <w:lang w:val="en-IN"/>
        </w:rPr>
      </w:pPr>
      <w:r>
        <w:rPr>
          <w:rFonts w:hint="default"/>
          <w:lang w:val="en-IN"/>
        </w:rPr>
        <w:t>Whatsapp +91 6374494194</w:t>
      </w:r>
    </w:p>
    <w:p>
      <w:pPr>
        <w:autoSpaceDE w:val="0"/>
        <w:autoSpaceDN w:val="0"/>
        <w:adjustRightInd w:val="0"/>
        <w:ind w:firstLine="220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SimSun" w:cs="Times New Roman"/>
          <w:sz w:val="24"/>
          <w:szCs w:val="24"/>
        </w:rPr>
        <w:t xml:space="preserve"> Passport No:</w:t>
      </w:r>
      <w:r>
        <w:rPr>
          <w:rFonts w:hint="default" w:ascii="Times New Roman" w:hAnsi="Times New Roman" w:eastAsia="SimSun" w:cs="Times New Roman"/>
          <w:sz w:val="24"/>
          <w:szCs w:val="24"/>
          <w:lang w:val="en-IN"/>
        </w:rPr>
        <w:t>P8925619</w:t>
      </w:r>
      <w:r>
        <w:rPr>
          <w:rFonts w:ascii="SimSun" w:hAnsi="SimSun" w:eastAsia="SimSun" w:cs="SimSun"/>
          <w:sz w:val="24"/>
          <w:szCs w:val="24"/>
        </w:rPr>
        <w:t xml:space="preserve"> </w:t>
      </w:r>
    </w:p>
    <w:p>
      <w:pPr>
        <w:ind w:firstLine="720" w:firstLineChars="300"/>
        <w:jc w:val="both"/>
        <w:rPr>
          <w:rFonts w:hint="default" w:ascii="SimSun" w:hAnsi="SimSun" w:eastAsia="SimSun" w:cs="SimSun"/>
          <w:sz w:val="24"/>
          <w:szCs w:val="24"/>
          <w:lang w:val="en-IN"/>
        </w:rPr>
      </w:pPr>
    </w:p>
    <w:p>
      <w:pPr>
        <w:ind w:firstLine="217"/>
        <w:jc w:val="both"/>
        <w:rPr>
          <w:color w:val="000000" w:themeColor="text1"/>
          <w:sz w:val="24"/>
          <w:szCs w:val="24"/>
          <w14:textFill>
            <w14:solidFill>
              <w14:schemeClr w14:val="tx1"/>
            </w14:solidFill>
          </w14:textFill>
        </w:rPr>
      </w:pPr>
    </w:p>
    <w:p>
      <w:pPr>
        <w:jc w:val="both"/>
        <w:rPr>
          <w:rFonts w:hint="default" w:ascii="Times New Roman" w:hAnsi="Times New Roman" w:eastAsia="Georgia" w:cs="Times New Roman"/>
          <w:i w:val="0"/>
          <w:iCs w:val="0"/>
          <w:caps w:val="0"/>
          <w:color w:val="2E2E2E"/>
          <w:spacing w:val="0"/>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953"/>
    <w:rsid w:val="02F15F1B"/>
    <w:rsid w:val="05C077CB"/>
    <w:rsid w:val="09652F19"/>
    <w:rsid w:val="0B79496D"/>
    <w:rsid w:val="0E310A85"/>
    <w:rsid w:val="0FBA522B"/>
    <w:rsid w:val="15C13406"/>
    <w:rsid w:val="3F1B2E12"/>
    <w:rsid w:val="44303321"/>
    <w:rsid w:val="71B14AB6"/>
    <w:rsid w:val="75051DC1"/>
    <w:rsid w:val="7E3F7953"/>
    <w:rsid w:val="7EA35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qFormat/>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2022-01-05T11:43:00Z</dcterms:created>
  <dc:creator>PC</dc:creator>
  <cp:lastModifiedBy>PC</cp:lastModifiedBy>
  <dcterms:modified xsi:type="dcterms:W3CDTF">2022-01-06T13:35:26Z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DEDBB1B26AC84F7596696EA6CCED9340</vt:lpwstr>
  </property>
</Properties>
</file>