
<file path=[Content_Types].xml><?xml version="1.0" encoding="utf-8"?>
<Types xmlns="http://schemas.openxmlformats.org/package/2006/content-types">
  <Default Extension="rels" ContentType="application/vnd.openxmlformats-package.relationships+xml"/>
  <Default Extension="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Types>
</file>

<file path=_rels/.rels><?xml version="1.0"?><Relationships xmlns="http://schemas.openxmlformats.org/package/2006/relationships"><Relationship Target="word/document.xml" Id="pkgRId0" Type="http://schemas.openxmlformats.org/officeDocument/2006/relationships/officeDocument"/></Relationships>
</file>

<file path=word/document.xml><?xml version="1.0" encoding="utf-8"?>
<w:document xmlns:w="http://schemas.openxmlformats.org/wordprocessingml/2006/main">
  <w:body>
    <w:p>
      <w:pPr>
        <w:bidi w:val="true"/>
        <w:spacing w:before="0" w:after="200" w:line="276"/>
        <w:ind w:right="0" w:left="0" w:firstLine="0"/>
        <w:jc w:val="center"/>
        <w:rPr>
          <w:rFonts w:ascii="Arial" w:hAnsi="Arial" w:cs="Arial" w:eastAsia="Arial"/>
          <w:b/>
          <w:color w:val="auto"/>
          <w:spacing w:val="0"/>
          <w:position w:val="0"/>
          <w:sz w:val="22"/>
          <w:shd w:fill="auto" w:val="clear"/>
        </w:rPr>
      </w:pPr>
      <w:r>
        <w:rPr>
          <w:rFonts w:ascii="Arial" w:hAnsi="Arial" w:cs="Arial" w:eastAsia="Arial"/>
          <w:b/>
          <w:color w:val="auto"/>
          <w:spacing w:val="0"/>
          <w:position w:val="0"/>
          <w:sz w:val="22"/>
          <w:shd w:fill="auto" w:val="clear"/>
        </w:rPr>
        <w:t xml:space="preserve">Comparative study of the levels of interleukin-</w:t>
      </w:r>
      <w:r>
        <w:rPr>
          <w:rFonts w:ascii="Arial" w:hAnsi="Arial" w:cs="Arial" w:eastAsia="Arial"/>
          <w:b/>
          <w:color w:val="auto"/>
          <w:spacing w:val="0"/>
          <w:position w:val="0"/>
          <w:sz w:val="22"/>
          <w:shd w:fill="auto" w:val="clear"/>
        </w:rPr>
        <w:t xml:space="preserve">27 </w:t>
      </w:r>
      <w:r>
        <w:rPr>
          <w:rFonts w:ascii="Arial" w:hAnsi="Arial" w:cs="Arial" w:eastAsia="Arial"/>
          <w:b/>
          <w:color w:val="auto"/>
          <w:spacing w:val="0"/>
          <w:position w:val="0"/>
          <w:sz w:val="22"/>
          <w:shd w:fill="auto" w:val="clear"/>
        </w:rPr>
        <w:t xml:space="preserve">and interleukin-</w:t>
      </w:r>
      <w:r>
        <w:rPr>
          <w:rFonts w:ascii="Arial" w:hAnsi="Arial" w:cs="Arial" w:eastAsia="Arial"/>
          <w:b/>
          <w:color w:val="auto"/>
          <w:spacing w:val="0"/>
          <w:position w:val="0"/>
          <w:sz w:val="22"/>
          <w:shd w:fill="auto" w:val="clear"/>
        </w:rPr>
        <w:t xml:space="preserve">17 </w:t>
      </w:r>
      <w:r>
        <w:rPr>
          <w:rFonts w:ascii="Arial" w:hAnsi="Arial" w:cs="Arial" w:eastAsia="Arial"/>
          <w:b/>
          <w:color w:val="auto"/>
          <w:spacing w:val="0"/>
          <w:position w:val="0"/>
          <w:sz w:val="22"/>
          <w:shd w:fill="auto" w:val="clear"/>
        </w:rPr>
        <w:t xml:space="preserve">in pleural fluid of patients with cause of exudative pleural effusions</w:t>
      </w:r>
      <w:r>
        <w:rPr>
          <w:rFonts w:ascii="Arial" w:hAnsi="Arial" w:cs="Arial" w:eastAsia="Arial"/>
          <w:b/>
          <w:color w:val="auto"/>
          <w:spacing w:val="0"/>
          <w:position w:val="0"/>
          <w:sz w:val="22"/>
          <w:shd w:fill="auto" w:val="clear"/>
        </w:rPr>
        <w:t xml:space="preserve"> </w:t>
      </w:r>
    </w:p>
    <w:p>
      <w:pPr>
        <w:bidi w:val="true"/>
        <w:spacing w:before="0" w:after="0" w:line="240"/>
        <w:ind w:right="0" w:left="0" w:firstLine="0"/>
        <w:jc w:val="right"/>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 xml:space="preserve">M.R.Hashempour</w:t>
      </w:r>
      <w:r>
        <w:rPr>
          <w:rFonts w:ascii="Arial" w:hAnsi="Arial" w:cs="Arial" w:eastAsia="Arial"/>
          <w:color w:val="auto"/>
          <w:spacing w:val="0"/>
          <w:position w:val="0"/>
          <w:sz w:val="22"/>
          <w:shd w:fill="auto" w:val="clear"/>
        </w:rPr>
        <w:t xml:space="preserve">1</w:t>
      </w:r>
      <w:r>
        <w:rPr>
          <w:rFonts w:ascii="Arial" w:hAnsi="Arial" w:cs="Arial" w:eastAsia="Arial"/>
          <w:color w:val="auto"/>
          <w:spacing w:val="0"/>
          <w:position w:val="0"/>
          <w:sz w:val="22"/>
          <w:shd w:fill="auto" w:val="clear"/>
        </w:rPr>
        <w:t xml:space="preserve">, A,Aryannia</w:t>
      </w:r>
      <w:r>
        <w:rPr>
          <w:rFonts w:ascii="Arial" w:hAnsi="Arial" w:cs="Arial" w:eastAsia="Arial"/>
          <w:color w:val="auto"/>
          <w:spacing w:val="0"/>
          <w:position w:val="0"/>
          <w:sz w:val="22"/>
          <w:shd w:fill="auto" w:val="clear"/>
        </w:rPr>
        <w:t xml:space="preserve">1</w:t>
      </w:r>
      <w:r>
        <w:rPr>
          <w:rFonts w:ascii="Arial" w:hAnsi="Arial" w:cs="Arial" w:eastAsia="Arial"/>
          <w:color w:val="auto"/>
          <w:spacing w:val="0"/>
          <w:position w:val="0"/>
          <w:sz w:val="22"/>
          <w:shd w:fill="auto" w:val="clear"/>
        </w:rPr>
        <w:t xml:space="preserve">, M.Mehrjerdian</w:t>
      </w:r>
      <w:r>
        <w:rPr>
          <w:rFonts w:ascii="Arial" w:hAnsi="Arial" w:cs="Arial" w:eastAsia="Arial"/>
          <w:color w:val="auto"/>
          <w:spacing w:val="0"/>
          <w:position w:val="0"/>
          <w:sz w:val="22"/>
          <w:shd w:fill="auto" w:val="clear"/>
        </w:rPr>
        <w:t xml:space="preserve">2</w:t>
      </w:r>
      <w:r>
        <w:rPr>
          <w:rFonts w:ascii="Arial" w:hAnsi="Arial" w:cs="Arial" w:eastAsia="Arial"/>
          <w:color w:val="auto"/>
          <w:spacing w:val="0"/>
          <w:position w:val="0"/>
          <w:sz w:val="22"/>
          <w:shd w:fill="auto" w:val="clear"/>
        </w:rPr>
        <w:t xml:space="preserve">, S.Baniaghil</w:t>
      </w:r>
      <w:r>
        <w:rPr>
          <w:rFonts w:ascii="Arial" w:hAnsi="Arial" w:cs="Arial" w:eastAsia="Arial"/>
          <w:color w:val="auto"/>
          <w:spacing w:val="0"/>
          <w:position w:val="0"/>
          <w:sz w:val="22"/>
          <w:shd w:fill="auto" w:val="clear"/>
        </w:rPr>
        <w:t xml:space="preserve">1</w:t>
      </w:r>
      <w:r>
        <w:rPr>
          <w:rFonts w:ascii="Arial" w:hAnsi="Arial" w:cs="Arial" w:eastAsia="Arial"/>
          <w:color w:val="auto"/>
          <w:spacing w:val="0"/>
          <w:position w:val="0"/>
          <w:sz w:val="22"/>
          <w:shd w:fill="auto" w:val="clear"/>
        </w:rPr>
        <w:t xml:space="preserve"> </w:t>
      </w:r>
    </w:p>
    <w:p>
      <w:pPr>
        <w:bidi w:val="true"/>
        <w:spacing w:before="0" w:after="0" w:line="240"/>
        <w:ind w:right="0" w:left="0" w:firstLine="0"/>
        <w:jc w:val="right"/>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 xml:space="preserve">Surgery Department, </w:t>
      </w:r>
      <w:r>
        <w:rPr>
          <w:rFonts w:ascii="Arial" w:hAnsi="Arial" w:cs="Arial" w:eastAsia="Arial"/>
          <w:color w:val="auto"/>
          <w:spacing w:val="0"/>
          <w:position w:val="0"/>
          <w:sz w:val="22"/>
          <w:shd w:fill="auto" w:val="clear"/>
        </w:rPr>
        <w:t xml:space="preserve">5</w:t>
      </w:r>
      <w:r>
        <w:rPr>
          <w:rFonts w:ascii="Arial" w:hAnsi="Arial" w:cs="Arial" w:eastAsia="Arial"/>
          <w:color w:val="auto"/>
          <w:spacing w:val="0"/>
          <w:position w:val="0"/>
          <w:sz w:val="22"/>
          <w:shd w:fill="auto" w:val="clear"/>
        </w:rPr>
        <w:t xml:space="preserve">Azar Hospital.University of Medical Sciences, Gorgan, Iran</w:t>
      </w:r>
    </w:p>
    <w:p>
      <w:pPr>
        <w:bidi w:val="true"/>
        <w:spacing w:before="0" w:after="0" w:line="240"/>
        <w:ind w:right="0" w:left="0" w:firstLine="0"/>
        <w:jc w:val="right"/>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 xml:space="preserve">2</w:t>
      </w:r>
      <w:r>
        <w:rPr>
          <w:rFonts w:ascii="Arial" w:hAnsi="Arial" w:cs="Arial" w:eastAsia="Arial"/>
          <w:color w:val="auto"/>
          <w:spacing w:val="0"/>
          <w:position w:val="0"/>
          <w:sz w:val="22"/>
          <w:shd w:fill="auto" w:val="clear"/>
        </w:rPr>
        <w:t xml:space="preserve">Taleghani Hospital, Golestan university of medical sciences, Gorgan, Iran</w:t>
      </w:r>
    </w:p>
    <w:p>
      <w:pPr>
        <w:bidi w:val="true"/>
        <w:spacing w:before="0" w:after="0" w:line="240"/>
        <w:ind w:right="0" w:left="0" w:firstLine="0"/>
        <w:jc w:val="right"/>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 xml:space="preserve">3</w:t>
      </w:r>
      <w:r>
        <w:rPr>
          <w:rFonts w:ascii="Arial" w:hAnsi="Arial" w:cs="Arial" w:eastAsia="Arial"/>
          <w:color w:val="auto"/>
          <w:spacing w:val="0"/>
          <w:position w:val="0"/>
          <w:sz w:val="22"/>
          <w:shd w:fill="auto" w:val="clear"/>
        </w:rPr>
        <w:t xml:space="preserve">Immunology Department , Tehran university of medical sciences, Tehran, Iran</w:t>
      </w:r>
    </w:p>
    <w:p>
      <w:pPr>
        <w:bidi w:val="true"/>
        <w:spacing w:before="0" w:after="0" w:line="240"/>
        <w:ind w:right="0" w:left="0" w:firstLine="0"/>
        <w:jc w:val="right"/>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 xml:space="preserve">Corresponding author: Mohammad Reza Hashempour (Hahempourm@yahoo.com)(</w:t>
      </w:r>
      <w:r>
        <w:rPr>
          <w:rFonts w:ascii="Arial" w:hAnsi="Arial" w:cs="Arial" w:eastAsia="Arial"/>
          <w:color w:val="auto"/>
          <w:spacing w:val="0"/>
          <w:position w:val="0"/>
          <w:sz w:val="22"/>
          <w:shd w:fill="auto" w:val="clear"/>
        </w:rPr>
        <w:t xml:space="preserve">0989127092320</w:t>
      </w:r>
      <w:r>
        <w:rPr>
          <w:rFonts w:ascii="Arial" w:hAnsi="Arial" w:cs="Arial" w:eastAsia="Arial"/>
          <w:color w:val="auto"/>
          <w:spacing w:val="0"/>
          <w:position w:val="0"/>
          <w:sz w:val="22"/>
          <w:shd w:fill="auto" w:val="clear"/>
        </w:rPr>
        <w:t xml:space="preserve">)</w:t>
      </w:r>
    </w:p>
    <w:p>
      <w:pPr>
        <w:bidi w:val="true"/>
        <w:spacing w:before="0" w:after="0" w:line="240"/>
        <w:ind w:right="0" w:left="0" w:firstLine="0"/>
        <w:jc w:val="right"/>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 xml:space="preserve"> </w:t>
      </w:r>
    </w:p>
    <w:p>
      <w:pPr>
        <w:bidi w:val="true"/>
        <w:spacing w:before="0" w:after="200" w:line="276"/>
        <w:ind w:right="0" w:left="0" w:firstLine="0"/>
        <w:jc w:val="both"/>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 xml:space="preserve"> </w:t>
      </w:r>
      <w:r>
        <w:rPr>
          <w:rFonts w:ascii="Arial" w:hAnsi="Arial" w:cs="Arial" w:eastAsia="Arial"/>
          <w:color w:val="auto"/>
          <w:spacing w:val="0"/>
          <w:position w:val="0"/>
          <w:sz w:val="22"/>
          <w:shd w:fill="auto" w:val="clear"/>
        </w:rPr>
        <w:t xml:space="preserve">Pleural effusion is one of signs and complications resulting from malignant diseases such aslung and breast cancer, and also tuberculosis and infective lung disease. Diagnostic evaluationfor patients with pleural effusion include history, physical exam, chest x-ray and if necessarythoracocentesis and cytologic analysis of pleural fluid. According to cytologic evaluation ofpleural fluid, pleural effusion divide in two group: exudative and transudative, that exudativepleural effusion require more diagnostic evaluations. By cytologic analysis of pleural fluid wecan use of tumor markers and other biomarkers to better diagnose malignant pleural effusion. Inthe previous studies  by using immunochemical approach, interleukin-</w:t>
      </w:r>
      <w:r>
        <w:rPr>
          <w:rFonts w:ascii="Arial" w:hAnsi="Arial" w:cs="Arial" w:eastAsia="Arial"/>
          <w:color w:val="auto"/>
          <w:spacing w:val="0"/>
          <w:position w:val="0"/>
          <w:sz w:val="22"/>
          <w:shd w:fill="auto" w:val="clear"/>
        </w:rPr>
        <w:t xml:space="preserve">17 </w:t>
      </w:r>
      <w:r>
        <w:rPr>
          <w:rFonts w:ascii="Arial" w:hAnsi="Arial" w:cs="Arial" w:eastAsia="Arial"/>
          <w:color w:val="auto"/>
          <w:spacing w:val="0"/>
          <w:position w:val="0"/>
          <w:sz w:val="22"/>
          <w:shd w:fill="auto" w:val="clear"/>
        </w:rPr>
        <w:t xml:space="preserve">and also CEA expressin more amounts in malignant pleural effusion than in benign pleural effusion, in contrast tointerleukin-</w:t>
      </w:r>
      <w:r>
        <w:rPr>
          <w:rFonts w:ascii="Arial" w:hAnsi="Arial" w:cs="Arial" w:eastAsia="Arial"/>
          <w:color w:val="auto"/>
          <w:spacing w:val="0"/>
          <w:position w:val="0"/>
          <w:sz w:val="22"/>
          <w:shd w:fill="auto" w:val="clear"/>
        </w:rPr>
        <w:t xml:space="preserve">27</w:t>
      </w:r>
      <w:r>
        <w:rPr>
          <w:rFonts w:ascii="Arial" w:hAnsi="Arial" w:cs="Arial" w:eastAsia="Arial"/>
          <w:color w:val="auto"/>
          <w:spacing w:val="0"/>
          <w:position w:val="0"/>
          <w:sz w:val="22"/>
          <w:shd w:fill="auto" w:val="clear"/>
        </w:rPr>
        <w:t xml:space="preserve">. In this study we examined the concentration of Interleukin-</w:t>
      </w:r>
      <w:r>
        <w:rPr>
          <w:rFonts w:ascii="Arial" w:hAnsi="Arial" w:cs="Arial" w:eastAsia="Arial"/>
          <w:color w:val="auto"/>
          <w:spacing w:val="0"/>
          <w:position w:val="0"/>
          <w:sz w:val="22"/>
          <w:shd w:fill="auto" w:val="clear"/>
        </w:rPr>
        <w:t xml:space="preserve">27 </w:t>
      </w:r>
      <w:r>
        <w:rPr>
          <w:rFonts w:ascii="Arial" w:hAnsi="Arial" w:cs="Arial" w:eastAsia="Arial"/>
          <w:color w:val="auto"/>
          <w:spacing w:val="0"/>
          <w:position w:val="0"/>
          <w:sz w:val="22"/>
          <w:shd w:fill="auto" w:val="clear"/>
        </w:rPr>
        <w:t xml:space="preserve">&amp; </w:t>
      </w:r>
      <w:r>
        <w:rPr>
          <w:rFonts w:ascii="Arial" w:hAnsi="Arial" w:cs="Arial" w:eastAsia="Arial"/>
          <w:color w:val="auto"/>
          <w:spacing w:val="0"/>
          <w:position w:val="0"/>
          <w:sz w:val="22"/>
          <w:shd w:fill="auto" w:val="clear"/>
        </w:rPr>
        <w:t xml:space="preserve">17 </w:t>
      </w:r>
      <w:r>
        <w:rPr>
          <w:rFonts w:ascii="Arial" w:hAnsi="Arial" w:cs="Arial" w:eastAsia="Arial"/>
          <w:color w:val="auto"/>
          <w:spacing w:val="0"/>
          <w:position w:val="0"/>
          <w:sz w:val="22"/>
          <w:shd w:fill="auto" w:val="clear"/>
        </w:rPr>
        <w:t xml:space="preserve">in PleuralFluid with Causes of Exudative Pleural Effusion in the Patients Referred to educational Hospitalof Gorgan of Iran in </w:t>
      </w:r>
      <w:r>
        <w:rPr>
          <w:rFonts w:ascii="Arial" w:hAnsi="Arial" w:cs="Arial" w:eastAsia="Arial"/>
          <w:color w:val="auto"/>
          <w:spacing w:val="0"/>
          <w:position w:val="0"/>
          <w:sz w:val="22"/>
          <w:shd w:fill="auto" w:val="clear"/>
        </w:rPr>
        <w:t xml:space="preserve">2015</w:t>
      </w:r>
      <w:r>
        <w:rPr>
          <w:rFonts w:ascii="Arial" w:hAnsi="Arial" w:cs="Arial" w:eastAsia="Arial"/>
          <w:color w:val="auto"/>
          <w:spacing w:val="0"/>
          <w:position w:val="0"/>
          <w:sz w:val="22"/>
          <w:shd w:fill="auto" w:val="clear"/>
        </w:rPr>
        <w:t xml:space="preserve">-</w:t>
      </w:r>
      <w:r>
        <w:rPr>
          <w:rFonts w:ascii="Arial" w:hAnsi="Arial" w:cs="Arial" w:eastAsia="Arial"/>
          <w:color w:val="auto"/>
          <w:spacing w:val="0"/>
          <w:position w:val="0"/>
          <w:sz w:val="22"/>
          <w:shd w:fill="auto" w:val="clear"/>
        </w:rPr>
        <w:t xml:space="preserve">16</w:t>
      </w:r>
      <w:r>
        <w:rPr>
          <w:rFonts w:ascii="Arial" w:hAnsi="Arial" w:cs="Arial" w:eastAsia="Arial"/>
          <w:color w:val="auto"/>
          <w:spacing w:val="0"/>
          <w:position w:val="0"/>
          <w:sz w:val="22"/>
          <w:shd w:fill="auto" w:val="clear"/>
        </w:rPr>
        <w:t xml:space="preserve">. This is a descriptive-analytical and case-control study and </w:t>
      </w:r>
      <w:r>
        <w:rPr>
          <w:rFonts w:ascii="Arial" w:hAnsi="Arial" w:cs="Arial" w:eastAsia="Arial"/>
          <w:color w:val="auto"/>
          <w:spacing w:val="0"/>
          <w:position w:val="0"/>
          <w:sz w:val="22"/>
          <w:shd w:fill="auto" w:val="clear"/>
        </w:rPr>
        <w:t xml:space="preserve">130</w:t>
      </w:r>
      <w:r>
        <w:rPr>
          <w:rFonts w:ascii="Arial" w:hAnsi="Arial" w:cs="Arial" w:eastAsia="Arial"/>
          <w:color w:val="auto"/>
          <w:spacing w:val="0"/>
          <w:position w:val="0"/>
          <w:sz w:val="22"/>
          <w:shd w:fill="auto" w:val="clear"/>
        </w:rPr>
        <w:t xml:space="preserve">patient with exudative pleural effusion were enrolled in the study after an informed consent.Samples collected from the  patients divided  in  two main  group including   </w:t>
      </w:r>
      <w:r>
        <w:rPr>
          <w:rFonts w:ascii="Arial" w:hAnsi="Arial" w:cs="Arial" w:eastAsia="Arial"/>
          <w:color w:val="auto"/>
          <w:spacing w:val="0"/>
          <w:position w:val="0"/>
          <w:sz w:val="22"/>
          <w:shd w:fill="auto" w:val="clear"/>
        </w:rPr>
        <w:t xml:space="preserve">88 </w:t>
      </w:r>
      <w:r>
        <w:rPr>
          <w:rFonts w:ascii="Arial" w:hAnsi="Arial" w:cs="Arial" w:eastAsia="Arial"/>
          <w:color w:val="auto"/>
          <w:spacing w:val="0"/>
          <w:position w:val="0"/>
          <w:sz w:val="22"/>
          <w:shd w:fill="auto" w:val="clear"/>
        </w:rPr>
        <w:t xml:space="preserve">patients withmalignant pleural effusion and </w:t>
      </w:r>
      <w:r>
        <w:rPr>
          <w:rFonts w:ascii="Arial" w:hAnsi="Arial" w:cs="Arial" w:eastAsia="Arial"/>
          <w:color w:val="auto"/>
          <w:spacing w:val="0"/>
          <w:position w:val="0"/>
          <w:sz w:val="22"/>
          <w:shd w:fill="auto" w:val="clear"/>
        </w:rPr>
        <w:t xml:space="preserve">42 </w:t>
      </w:r>
      <w:r>
        <w:rPr>
          <w:rFonts w:ascii="Arial" w:hAnsi="Arial" w:cs="Arial" w:eastAsia="Arial"/>
          <w:color w:val="auto"/>
          <w:spacing w:val="0"/>
          <w:position w:val="0"/>
          <w:sz w:val="22"/>
          <w:shd w:fill="auto" w:val="clear"/>
        </w:rPr>
        <w:t xml:space="preserve">patients with benign pleural effusion. In next step by using ofthe same previous pleural fluid samples, the concentration of Interleukin-</w:t>
      </w:r>
      <w:r>
        <w:rPr>
          <w:rFonts w:ascii="Arial" w:hAnsi="Arial" w:cs="Arial" w:eastAsia="Arial"/>
          <w:color w:val="auto"/>
          <w:spacing w:val="0"/>
          <w:position w:val="0"/>
          <w:sz w:val="22"/>
          <w:shd w:fill="auto" w:val="clear"/>
        </w:rPr>
        <w:t xml:space="preserve">27 </w:t>
      </w:r>
      <w:r>
        <w:rPr>
          <w:rFonts w:ascii="Arial" w:hAnsi="Arial" w:cs="Arial" w:eastAsia="Arial"/>
          <w:color w:val="auto"/>
          <w:spacing w:val="0"/>
          <w:position w:val="0"/>
          <w:sz w:val="22"/>
          <w:shd w:fill="auto" w:val="clear"/>
        </w:rPr>
        <w:t xml:space="preserve">&amp; </w:t>
      </w:r>
      <w:r>
        <w:rPr>
          <w:rFonts w:ascii="Arial" w:hAnsi="Arial" w:cs="Arial" w:eastAsia="Arial"/>
          <w:color w:val="auto"/>
          <w:spacing w:val="0"/>
          <w:position w:val="0"/>
          <w:sz w:val="22"/>
          <w:shd w:fill="auto" w:val="clear"/>
        </w:rPr>
        <w:t xml:space="preserve">17 </w:t>
      </w:r>
      <w:r>
        <w:rPr>
          <w:rFonts w:ascii="Arial" w:hAnsi="Arial" w:cs="Arial" w:eastAsia="Arial"/>
          <w:color w:val="auto"/>
          <w:spacing w:val="0"/>
          <w:position w:val="0"/>
          <w:sz w:val="22"/>
          <w:shd w:fill="auto" w:val="clear"/>
        </w:rPr>
        <w:t xml:space="preserve">was measuredwith ELISA by an specific Kit. After entering to computer through SPSS-</w:t>
      </w:r>
      <w:r>
        <w:rPr>
          <w:rFonts w:ascii="Arial" w:hAnsi="Arial" w:cs="Arial" w:eastAsia="Arial"/>
          <w:color w:val="auto"/>
          <w:spacing w:val="0"/>
          <w:position w:val="0"/>
          <w:sz w:val="22"/>
          <w:shd w:fill="auto" w:val="clear"/>
        </w:rPr>
        <w:t xml:space="preserve">18 </w:t>
      </w:r>
      <w:r>
        <w:rPr>
          <w:rFonts w:ascii="Arial" w:hAnsi="Arial" w:cs="Arial" w:eastAsia="Arial"/>
          <w:color w:val="auto"/>
          <w:spacing w:val="0"/>
          <w:position w:val="0"/>
          <w:sz w:val="22"/>
          <w:shd w:fill="auto" w:val="clear"/>
        </w:rPr>
        <w:t xml:space="preserve">statistical software,description of data was done into frequency and percentage. Interleukin-</w:t>
      </w:r>
      <w:r>
        <w:rPr>
          <w:rFonts w:ascii="Arial" w:hAnsi="Arial" w:cs="Arial" w:eastAsia="Arial"/>
          <w:color w:val="auto"/>
          <w:spacing w:val="0"/>
          <w:position w:val="0"/>
          <w:sz w:val="22"/>
          <w:shd w:fill="auto" w:val="clear"/>
        </w:rPr>
        <w:t xml:space="preserve">27 </w:t>
      </w:r>
      <w:r>
        <w:rPr>
          <w:rFonts w:ascii="Arial" w:hAnsi="Arial" w:cs="Arial" w:eastAsia="Arial"/>
          <w:color w:val="auto"/>
          <w:spacing w:val="0"/>
          <w:position w:val="0"/>
          <w:sz w:val="22"/>
          <w:shd w:fill="auto" w:val="clear"/>
        </w:rPr>
        <w:t xml:space="preserve">concentration was(</w:t>
      </w:r>
      <w:r>
        <w:rPr>
          <w:rFonts w:ascii="Arial" w:hAnsi="Arial" w:cs="Arial" w:eastAsia="Arial"/>
          <w:color w:val="auto"/>
          <w:spacing w:val="0"/>
          <w:position w:val="0"/>
          <w:sz w:val="22"/>
          <w:shd w:fill="auto" w:val="clear"/>
        </w:rPr>
        <w:t xml:space="preserve">203</w:t>
      </w:r>
      <w:r>
        <w:rPr>
          <w:rFonts w:ascii="Arial" w:hAnsi="Arial" w:cs="Arial" w:eastAsia="Arial"/>
          <w:color w:val="auto"/>
          <w:spacing w:val="0"/>
          <w:position w:val="0"/>
          <w:sz w:val="22"/>
          <w:shd w:fill="auto" w:val="clear"/>
        </w:rPr>
        <w:t xml:space="preserve">.</w:t>
      </w:r>
      <w:r>
        <w:rPr>
          <w:rFonts w:ascii="Arial" w:hAnsi="Arial" w:cs="Arial" w:eastAsia="Arial"/>
          <w:color w:val="auto"/>
          <w:spacing w:val="0"/>
          <w:position w:val="0"/>
          <w:sz w:val="22"/>
          <w:shd w:fill="auto" w:val="clear"/>
        </w:rPr>
        <w:t xml:space="preserve">05</w:t>
      </w:r>
      <w:r>
        <w:rPr>
          <w:rFonts w:ascii="Arial" w:hAnsi="Arial" w:cs="Arial" w:eastAsia="Arial"/>
          <w:color w:val="auto"/>
          <w:spacing w:val="0"/>
          <w:position w:val="0"/>
          <w:sz w:val="22"/>
          <w:shd w:fill="auto" w:val="clear"/>
        </w:rPr>
        <w:t xml:space="preserve">±</w:t>
      </w:r>
      <w:r>
        <w:rPr>
          <w:rFonts w:ascii="Arial" w:hAnsi="Arial" w:cs="Arial" w:eastAsia="Arial"/>
          <w:color w:val="auto"/>
          <w:spacing w:val="0"/>
          <w:position w:val="0"/>
          <w:sz w:val="22"/>
          <w:shd w:fill="auto" w:val="clear"/>
        </w:rPr>
        <w:t xml:space="preserve">76</w:t>
      </w:r>
      <w:r>
        <w:rPr>
          <w:rFonts w:ascii="Arial" w:hAnsi="Arial" w:cs="Arial" w:eastAsia="Arial"/>
          <w:color w:val="auto"/>
          <w:spacing w:val="0"/>
          <w:position w:val="0"/>
          <w:sz w:val="22"/>
          <w:shd w:fill="auto" w:val="clear"/>
        </w:rPr>
        <w:t xml:space="preserve">.</w:t>
      </w:r>
      <w:r>
        <w:rPr>
          <w:rFonts w:ascii="Arial" w:hAnsi="Arial" w:cs="Arial" w:eastAsia="Arial"/>
          <w:color w:val="auto"/>
          <w:spacing w:val="0"/>
          <w:position w:val="0"/>
          <w:sz w:val="22"/>
          <w:shd w:fill="auto" w:val="clear"/>
        </w:rPr>
        <w:t xml:space="preserve">03</w:t>
      </w:r>
      <w:r>
        <w:rPr>
          <w:rFonts w:ascii="Arial" w:hAnsi="Arial" w:cs="Arial" w:eastAsia="Arial"/>
          <w:color w:val="auto"/>
          <w:spacing w:val="0"/>
          <w:position w:val="0"/>
          <w:sz w:val="22"/>
          <w:shd w:fill="auto" w:val="clear"/>
        </w:rPr>
        <w:t xml:space="preserve">)   in   patients   with   malignant   causes   and   (</w:t>
      </w:r>
      <w:r>
        <w:rPr>
          <w:rFonts w:ascii="Arial" w:hAnsi="Arial" w:cs="Arial" w:eastAsia="Arial"/>
          <w:color w:val="auto"/>
          <w:spacing w:val="0"/>
          <w:position w:val="0"/>
          <w:sz w:val="22"/>
          <w:shd w:fill="auto" w:val="clear"/>
        </w:rPr>
        <w:t xml:space="preserve">344</w:t>
      </w:r>
      <w:r>
        <w:rPr>
          <w:rFonts w:ascii="Arial" w:hAnsi="Arial" w:cs="Arial" w:eastAsia="Arial"/>
          <w:color w:val="auto"/>
          <w:spacing w:val="0"/>
          <w:position w:val="0"/>
          <w:sz w:val="22"/>
          <w:shd w:fill="auto" w:val="clear"/>
        </w:rPr>
        <w:t xml:space="preserve">.</w:t>
      </w:r>
      <w:r>
        <w:rPr>
          <w:rFonts w:ascii="Arial" w:hAnsi="Arial" w:cs="Arial" w:eastAsia="Arial"/>
          <w:color w:val="auto"/>
          <w:spacing w:val="0"/>
          <w:position w:val="0"/>
          <w:sz w:val="22"/>
          <w:shd w:fill="auto" w:val="clear"/>
        </w:rPr>
        <w:t xml:space="preserve">15</w:t>
      </w:r>
      <w:r>
        <w:rPr>
          <w:rFonts w:ascii="Arial" w:hAnsi="Arial" w:cs="Arial" w:eastAsia="Arial"/>
          <w:color w:val="auto"/>
          <w:spacing w:val="0"/>
          <w:position w:val="0"/>
          <w:sz w:val="22"/>
          <w:shd w:fill="auto" w:val="clear"/>
        </w:rPr>
        <w:t xml:space="preserve">±</w:t>
      </w:r>
      <w:r>
        <w:rPr>
          <w:rFonts w:ascii="Arial" w:hAnsi="Arial" w:cs="Arial" w:eastAsia="Arial"/>
          <w:color w:val="auto"/>
          <w:spacing w:val="0"/>
          <w:position w:val="0"/>
          <w:sz w:val="22"/>
          <w:shd w:fill="auto" w:val="clear"/>
        </w:rPr>
        <w:t xml:space="preserve">236</w:t>
      </w:r>
      <w:r>
        <w:rPr>
          <w:rFonts w:ascii="Arial" w:hAnsi="Arial" w:cs="Arial" w:eastAsia="Arial"/>
          <w:color w:val="auto"/>
          <w:spacing w:val="0"/>
          <w:position w:val="0"/>
          <w:sz w:val="22"/>
          <w:shd w:fill="auto" w:val="clear"/>
        </w:rPr>
        <w:t xml:space="preserve">.</w:t>
      </w:r>
      <w:r>
        <w:rPr>
          <w:rFonts w:ascii="Arial" w:hAnsi="Arial" w:cs="Arial" w:eastAsia="Arial"/>
          <w:color w:val="auto"/>
          <w:spacing w:val="0"/>
          <w:position w:val="0"/>
          <w:sz w:val="22"/>
          <w:shd w:fill="auto" w:val="clear"/>
        </w:rPr>
        <w:t xml:space="preserve">42</w:t>
      </w:r>
      <w:r>
        <w:rPr>
          <w:rFonts w:ascii="Arial" w:hAnsi="Arial" w:cs="Arial" w:eastAsia="Arial"/>
          <w:color w:val="auto"/>
          <w:spacing w:val="0"/>
          <w:position w:val="0"/>
          <w:sz w:val="22"/>
          <w:shd w:fill="auto" w:val="clear"/>
        </w:rPr>
        <w:t xml:space="preserve">)   in   benign   causesspecially tuberculosis. Interleukin-</w:t>
      </w:r>
      <w:r>
        <w:rPr>
          <w:rFonts w:ascii="Arial" w:hAnsi="Arial" w:cs="Arial" w:eastAsia="Arial"/>
          <w:color w:val="auto"/>
          <w:spacing w:val="0"/>
          <w:position w:val="0"/>
          <w:sz w:val="22"/>
          <w:shd w:fill="auto" w:val="clear"/>
        </w:rPr>
        <w:t xml:space="preserve">17 </w:t>
      </w:r>
      <w:r>
        <w:rPr>
          <w:rFonts w:ascii="Arial" w:hAnsi="Arial" w:cs="Arial" w:eastAsia="Arial"/>
          <w:color w:val="auto"/>
          <w:spacing w:val="0"/>
          <w:position w:val="0"/>
          <w:sz w:val="22"/>
          <w:shd w:fill="auto" w:val="clear"/>
        </w:rPr>
        <w:t xml:space="preserve">concentration was (</w:t>
      </w:r>
      <w:r>
        <w:rPr>
          <w:rFonts w:ascii="Arial" w:hAnsi="Arial" w:cs="Arial" w:eastAsia="Arial"/>
          <w:color w:val="auto"/>
          <w:spacing w:val="0"/>
          <w:position w:val="0"/>
          <w:sz w:val="22"/>
          <w:shd w:fill="auto" w:val="clear"/>
        </w:rPr>
        <w:t xml:space="preserve">69</w:t>
      </w:r>
      <w:r>
        <w:rPr>
          <w:rFonts w:ascii="Arial" w:hAnsi="Arial" w:cs="Arial" w:eastAsia="Arial"/>
          <w:color w:val="auto"/>
          <w:spacing w:val="0"/>
          <w:position w:val="0"/>
          <w:sz w:val="22"/>
          <w:shd w:fill="auto" w:val="clear"/>
        </w:rPr>
        <w:t xml:space="preserve">.</w:t>
      </w:r>
      <w:r>
        <w:rPr>
          <w:rFonts w:ascii="Arial" w:hAnsi="Arial" w:cs="Arial" w:eastAsia="Arial"/>
          <w:color w:val="auto"/>
          <w:spacing w:val="0"/>
          <w:position w:val="0"/>
          <w:sz w:val="22"/>
          <w:shd w:fill="auto" w:val="clear"/>
        </w:rPr>
        <w:t xml:space="preserve">73</w:t>
      </w:r>
      <w:r>
        <w:rPr>
          <w:rFonts w:ascii="Arial" w:hAnsi="Arial" w:cs="Arial" w:eastAsia="Arial"/>
          <w:color w:val="auto"/>
          <w:spacing w:val="0"/>
          <w:position w:val="0"/>
          <w:sz w:val="22"/>
          <w:shd w:fill="auto" w:val="clear"/>
        </w:rPr>
        <w:t xml:space="preserve">±</w:t>
      </w:r>
      <w:r>
        <w:rPr>
          <w:rFonts w:ascii="Arial" w:hAnsi="Arial" w:cs="Arial" w:eastAsia="Arial"/>
          <w:color w:val="auto"/>
          <w:spacing w:val="0"/>
          <w:position w:val="0"/>
          <w:sz w:val="22"/>
          <w:shd w:fill="auto" w:val="clear"/>
        </w:rPr>
        <w:t xml:space="preserve">64</w:t>
      </w:r>
      <w:r>
        <w:rPr>
          <w:rFonts w:ascii="Arial" w:hAnsi="Arial" w:cs="Arial" w:eastAsia="Arial"/>
          <w:color w:val="auto"/>
          <w:spacing w:val="0"/>
          <w:position w:val="0"/>
          <w:sz w:val="22"/>
          <w:shd w:fill="auto" w:val="clear"/>
        </w:rPr>
        <w:t xml:space="preserve">.</w:t>
      </w:r>
      <w:r>
        <w:rPr>
          <w:rFonts w:ascii="Arial" w:hAnsi="Arial" w:cs="Arial" w:eastAsia="Arial"/>
          <w:color w:val="auto"/>
          <w:spacing w:val="0"/>
          <w:position w:val="0"/>
          <w:sz w:val="22"/>
          <w:shd w:fill="auto" w:val="clear"/>
        </w:rPr>
        <w:t xml:space="preserve">58</w:t>
      </w:r>
      <w:r>
        <w:rPr>
          <w:rFonts w:ascii="Arial" w:hAnsi="Arial" w:cs="Arial" w:eastAsia="Arial"/>
          <w:color w:val="auto"/>
          <w:spacing w:val="0"/>
          <w:position w:val="0"/>
          <w:sz w:val="22"/>
          <w:shd w:fill="auto" w:val="clear"/>
        </w:rPr>
        <w:t xml:space="preserve">) in patients with malignantcauses and (</w:t>
      </w:r>
      <w:r>
        <w:rPr>
          <w:rFonts w:ascii="Arial" w:hAnsi="Arial" w:cs="Arial" w:eastAsia="Arial"/>
          <w:color w:val="auto"/>
          <w:spacing w:val="0"/>
          <w:position w:val="0"/>
          <w:sz w:val="22"/>
          <w:shd w:fill="auto" w:val="clear"/>
        </w:rPr>
        <w:t xml:space="preserve">55</w:t>
      </w:r>
      <w:r>
        <w:rPr>
          <w:rFonts w:ascii="Arial" w:hAnsi="Arial" w:cs="Arial" w:eastAsia="Arial"/>
          <w:color w:val="auto"/>
          <w:spacing w:val="0"/>
          <w:position w:val="0"/>
          <w:sz w:val="22"/>
          <w:shd w:fill="auto" w:val="clear"/>
        </w:rPr>
        <w:t xml:space="preserve">.</w:t>
      </w:r>
      <w:r>
        <w:rPr>
          <w:rFonts w:ascii="Arial" w:hAnsi="Arial" w:cs="Arial" w:eastAsia="Arial"/>
          <w:color w:val="auto"/>
          <w:spacing w:val="0"/>
          <w:position w:val="0"/>
          <w:sz w:val="22"/>
          <w:shd w:fill="auto" w:val="clear"/>
        </w:rPr>
        <w:t xml:space="preserve">32</w:t>
      </w:r>
      <w:r>
        <w:rPr>
          <w:rFonts w:ascii="Arial" w:hAnsi="Arial" w:cs="Arial" w:eastAsia="Arial"/>
          <w:color w:val="auto"/>
          <w:spacing w:val="0"/>
          <w:position w:val="0"/>
          <w:sz w:val="22"/>
          <w:shd w:fill="auto" w:val="clear"/>
        </w:rPr>
        <w:t xml:space="preserve">±</w:t>
      </w:r>
      <w:r>
        <w:rPr>
          <w:rFonts w:ascii="Arial" w:hAnsi="Arial" w:cs="Arial" w:eastAsia="Arial"/>
          <w:color w:val="auto"/>
          <w:spacing w:val="0"/>
          <w:position w:val="0"/>
          <w:sz w:val="22"/>
          <w:shd w:fill="auto" w:val="clear"/>
        </w:rPr>
        <w:t xml:space="preserve">43</w:t>
      </w:r>
      <w:r>
        <w:rPr>
          <w:rFonts w:ascii="Arial" w:hAnsi="Arial" w:cs="Arial" w:eastAsia="Arial"/>
          <w:color w:val="auto"/>
          <w:spacing w:val="0"/>
          <w:position w:val="0"/>
          <w:sz w:val="22"/>
          <w:shd w:fill="auto" w:val="clear"/>
        </w:rPr>
        <w:t xml:space="preserve">.</w:t>
      </w:r>
      <w:r>
        <w:rPr>
          <w:rFonts w:ascii="Arial" w:hAnsi="Arial" w:cs="Arial" w:eastAsia="Arial"/>
          <w:color w:val="auto"/>
          <w:spacing w:val="0"/>
          <w:position w:val="0"/>
          <w:sz w:val="22"/>
          <w:shd w:fill="auto" w:val="clear"/>
        </w:rPr>
        <w:t xml:space="preserve">60</w:t>
      </w:r>
      <w:r>
        <w:rPr>
          <w:rFonts w:ascii="Arial" w:hAnsi="Arial" w:cs="Arial" w:eastAsia="Arial"/>
          <w:color w:val="auto"/>
          <w:spacing w:val="0"/>
          <w:position w:val="0"/>
          <w:sz w:val="22"/>
          <w:shd w:fill="auto" w:val="clear"/>
        </w:rPr>
        <w:t xml:space="preserve">) in benign causes.The results showed that these difference werestatistically significant (p=</w:t>
      </w:r>
      <w:r>
        <w:rPr>
          <w:rFonts w:ascii="Arial" w:hAnsi="Arial" w:cs="Arial" w:eastAsia="Arial"/>
          <w:color w:val="auto"/>
          <w:spacing w:val="0"/>
          <w:position w:val="0"/>
          <w:sz w:val="22"/>
          <w:shd w:fill="auto" w:val="clear"/>
        </w:rPr>
        <w:t xml:space="preserve">0</w:t>
      </w:r>
      <w:r>
        <w:rPr>
          <w:rFonts w:ascii="Arial" w:hAnsi="Arial" w:cs="Arial" w:eastAsia="Arial"/>
          <w:color w:val="auto"/>
          <w:spacing w:val="0"/>
          <w:position w:val="0"/>
          <w:sz w:val="22"/>
          <w:shd w:fill="auto" w:val="clear"/>
        </w:rPr>
        <w:t xml:space="preserve">.</w:t>
      </w:r>
      <w:r>
        <w:rPr>
          <w:rFonts w:ascii="Arial" w:hAnsi="Arial" w:cs="Arial" w:eastAsia="Arial"/>
          <w:color w:val="auto"/>
          <w:spacing w:val="0"/>
          <w:position w:val="0"/>
          <w:sz w:val="22"/>
          <w:shd w:fill="auto" w:val="clear"/>
        </w:rPr>
        <w:t xml:space="preserve">000 </w:t>
      </w:r>
      <w:r>
        <w:rPr>
          <w:rFonts w:ascii="Arial" w:hAnsi="Arial" w:cs="Arial" w:eastAsia="Arial"/>
          <w:color w:val="auto"/>
          <w:spacing w:val="0"/>
          <w:position w:val="0"/>
          <w:sz w:val="22"/>
          <w:shd w:fill="auto" w:val="clear"/>
        </w:rPr>
        <w:t xml:space="preserve">for IL</w:t>
      </w:r>
      <w:r>
        <w:rPr>
          <w:rFonts w:ascii="Arial" w:hAnsi="Arial" w:cs="Arial" w:eastAsia="Arial"/>
          <w:color w:val="auto"/>
          <w:spacing w:val="0"/>
          <w:position w:val="0"/>
          <w:sz w:val="22"/>
          <w:shd w:fill="auto" w:val="clear"/>
        </w:rPr>
        <w:t xml:space="preserve">27</w:t>
      </w:r>
      <w:r>
        <w:rPr>
          <w:rFonts w:ascii="Arial" w:hAnsi="Arial" w:cs="Arial" w:eastAsia="Arial"/>
          <w:color w:val="auto"/>
          <w:spacing w:val="0"/>
          <w:position w:val="0"/>
          <w:sz w:val="22"/>
          <w:shd w:fill="auto" w:val="clear"/>
        </w:rPr>
        <w:t xml:space="preserve">) and  (p=</w:t>
      </w:r>
      <w:r>
        <w:rPr>
          <w:rFonts w:ascii="Arial" w:hAnsi="Arial" w:cs="Arial" w:eastAsia="Arial"/>
          <w:color w:val="auto"/>
          <w:spacing w:val="0"/>
          <w:position w:val="0"/>
          <w:sz w:val="22"/>
          <w:shd w:fill="auto" w:val="clear"/>
        </w:rPr>
        <w:t xml:space="preserve">0</w:t>
      </w:r>
      <w:r>
        <w:rPr>
          <w:rFonts w:ascii="Arial" w:hAnsi="Arial" w:cs="Arial" w:eastAsia="Arial"/>
          <w:color w:val="auto"/>
          <w:spacing w:val="0"/>
          <w:position w:val="0"/>
          <w:sz w:val="22"/>
          <w:shd w:fill="auto" w:val="clear"/>
        </w:rPr>
        <w:t xml:space="preserve">.</w:t>
      </w:r>
      <w:r>
        <w:rPr>
          <w:rFonts w:ascii="Arial" w:hAnsi="Arial" w:cs="Arial" w:eastAsia="Arial"/>
          <w:color w:val="auto"/>
          <w:spacing w:val="0"/>
          <w:position w:val="0"/>
          <w:sz w:val="22"/>
          <w:shd w:fill="auto" w:val="clear"/>
        </w:rPr>
        <w:t xml:space="preserve">02  </w:t>
      </w:r>
      <w:r>
        <w:rPr>
          <w:rFonts w:ascii="Arial" w:hAnsi="Arial" w:cs="Arial" w:eastAsia="Arial"/>
          <w:color w:val="auto"/>
          <w:spacing w:val="0"/>
          <w:position w:val="0"/>
          <w:sz w:val="22"/>
          <w:shd w:fill="auto" w:val="clear"/>
        </w:rPr>
        <w:t xml:space="preserve">for IL</w:t>
      </w:r>
      <w:r>
        <w:rPr>
          <w:rFonts w:ascii="Arial" w:hAnsi="Arial" w:cs="Arial" w:eastAsia="Arial"/>
          <w:color w:val="auto"/>
          <w:spacing w:val="0"/>
          <w:position w:val="0"/>
          <w:sz w:val="22"/>
          <w:shd w:fill="auto" w:val="clear"/>
        </w:rPr>
        <w:t xml:space="preserve">17</w:t>
      </w:r>
      <w:r>
        <w:rPr>
          <w:rFonts w:ascii="Arial" w:hAnsi="Arial" w:cs="Arial" w:eastAsia="Arial"/>
          <w:color w:val="auto"/>
          <w:spacing w:val="0"/>
          <w:position w:val="0"/>
          <w:sz w:val="22"/>
          <w:shd w:fill="auto" w:val="clear"/>
        </w:rPr>
        <w:t xml:space="preserve">). In other word  interleukin-</w:t>
      </w:r>
      <w:r>
        <w:rPr>
          <w:rFonts w:ascii="Arial" w:hAnsi="Arial" w:cs="Arial" w:eastAsia="Arial"/>
          <w:color w:val="auto"/>
          <w:spacing w:val="0"/>
          <w:position w:val="0"/>
          <w:sz w:val="22"/>
          <w:shd w:fill="auto" w:val="clear"/>
        </w:rPr>
        <w:t xml:space="preserve">27</w:t>
      </w:r>
      <w:r>
        <w:rPr>
          <w:rFonts w:ascii="Arial" w:hAnsi="Arial" w:cs="Arial" w:eastAsia="Arial"/>
          <w:color w:val="auto"/>
          <w:spacing w:val="0"/>
          <w:position w:val="0"/>
          <w:sz w:val="22"/>
          <w:shd w:fill="auto" w:val="clear"/>
        </w:rPr>
        <w:t xml:space="preserve">level, is higher in the benign pleural effusions and interleukin-</w:t>
      </w:r>
      <w:r>
        <w:rPr>
          <w:rFonts w:ascii="Arial" w:hAnsi="Arial" w:cs="Arial" w:eastAsia="Arial"/>
          <w:color w:val="auto"/>
          <w:spacing w:val="0"/>
          <w:position w:val="0"/>
          <w:sz w:val="22"/>
          <w:shd w:fill="auto" w:val="clear"/>
        </w:rPr>
        <w:t xml:space="preserve">17 </w:t>
      </w:r>
      <w:r>
        <w:rPr>
          <w:rFonts w:ascii="Arial" w:hAnsi="Arial" w:cs="Arial" w:eastAsia="Arial"/>
          <w:color w:val="auto"/>
          <w:spacing w:val="0"/>
          <w:position w:val="0"/>
          <w:sz w:val="22"/>
          <w:shd w:fill="auto" w:val="clear"/>
        </w:rPr>
        <w:t xml:space="preserve">level, is higher in the malignantpleural effusions. According to higher levels of interleukin-</w:t>
      </w:r>
      <w:r>
        <w:rPr>
          <w:rFonts w:ascii="Arial" w:hAnsi="Arial" w:cs="Arial" w:eastAsia="Arial"/>
          <w:color w:val="auto"/>
          <w:spacing w:val="0"/>
          <w:position w:val="0"/>
          <w:sz w:val="22"/>
          <w:shd w:fill="auto" w:val="clear"/>
        </w:rPr>
        <w:t xml:space="preserve">27 </w:t>
      </w:r>
      <w:r>
        <w:rPr>
          <w:rFonts w:ascii="Arial" w:hAnsi="Arial" w:cs="Arial" w:eastAsia="Arial"/>
          <w:color w:val="auto"/>
          <w:spacing w:val="0"/>
          <w:position w:val="0"/>
          <w:sz w:val="22"/>
          <w:shd w:fill="auto" w:val="clear"/>
        </w:rPr>
        <w:t xml:space="preserve">in benign  pleural effusions  andhigher level of interleukin-</w:t>
      </w:r>
      <w:r>
        <w:rPr>
          <w:rFonts w:ascii="Arial" w:hAnsi="Arial" w:cs="Arial" w:eastAsia="Arial"/>
          <w:color w:val="auto"/>
          <w:spacing w:val="0"/>
          <w:position w:val="0"/>
          <w:sz w:val="22"/>
          <w:shd w:fill="auto" w:val="clear"/>
        </w:rPr>
        <w:t xml:space="preserve">17 </w:t>
      </w:r>
      <w:r>
        <w:rPr>
          <w:rFonts w:ascii="Arial" w:hAnsi="Arial" w:cs="Arial" w:eastAsia="Arial"/>
          <w:color w:val="auto"/>
          <w:spacing w:val="0"/>
          <w:position w:val="0"/>
          <w:sz w:val="22"/>
          <w:shd w:fill="auto" w:val="clear"/>
        </w:rPr>
        <w:t xml:space="preserve">in malignant pleural effusions, maybe we can achieve importantresults in differentiating between malignant and non-malignant pleural exudate, without the needfor invasive procedures, by putting together the clinical symptoms, the interleukins concentrationin pleural fluid and pleural fluid cytology results.</w:t>
      </w:r>
    </w:p>
    <w:p>
      <w:pPr>
        <w:bidi w:val="true"/>
        <w:spacing w:before="0" w:after="200" w:line="276"/>
        <w:ind w:right="0" w:left="0" w:firstLine="0"/>
        <w:jc w:val="right"/>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 xml:space="preserve">Mohammad reza hashempour  has completed his  Doctorate  at the age of </w:t>
      </w:r>
      <w:r>
        <w:rPr>
          <w:rFonts w:ascii="Arial" w:hAnsi="Arial" w:cs="Arial" w:eastAsia="Arial"/>
          <w:color w:val="auto"/>
          <w:spacing w:val="0"/>
          <w:position w:val="0"/>
          <w:sz w:val="22"/>
          <w:shd w:fill="auto" w:val="clear"/>
        </w:rPr>
        <w:t xml:space="preserve">25 </w:t>
      </w:r>
      <w:r>
        <w:rPr>
          <w:rFonts w:ascii="Arial" w:hAnsi="Arial" w:cs="Arial" w:eastAsia="Arial"/>
          <w:color w:val="auto"/>
          <w:spacing w:val="0"/>
          <w:position w:val="0"/>
          <w:sz w:val="22"/>
          <w:shd w:fill="auto" w:val="clear"/>
        </w:rPr>
        <w:t xml:space="preserve">years from Army University  of medical sciences  and postdoctoral studies  in Surgery  from  Golestan  UniversitySchool of Medicine. He has published papers in reputed journals and he have presentations in international conferences.</w:t>
      </w:r>
    </w:p>
    <w:p>
      <w:pPr>
        <w:bidi w:val="true"/>
        <w:spacing w:before="0" w:after="0" w:line="276"/>
        <w:ind w:right="0" w:left="0" w:firstLine="0"/>
        <w:jc w:val="right"/>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 xml:space="preserve">Presenting   author   details</w:t>
      </w:r>
      <w:r>
        <w:rPr>
          <w:rFonts w:ascii="Arial" w:hAnsi="Arial" w:cs="Arial" w:eastAsia="Arial"/>
          <w:color w:val="auto"/>
          <w:spacing w:val="0"/>
          <w:position w:val="0"/>
          <w:sz w:val="22"/>
          <w:shd w:fill="auto" w:val="clear"/>
        </w:rPr>
        <w:t xml:space="preserve"> </w:t>
      </w:r>
    </w:p>
    <w:p>
      <w:pPr>
        <w:bidi w:val="true"/>
        <w:spacing w:before="0" w:after="0" w:line="276"/>
        <w:ind w:right="0" w:left="0" w:firstLine="0"/>
        <w:jc w:val="right"/>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 xml:space="preserve"> </w:t>
      </w:r>
      <w:r>
        <w:rPr>
          <w:rFonts w:ascii="Arial" w:hAnsi="Arial" w:cs="Arial" w:eastAsia="Arial"/>
          <w:color w:val="auto"/>
          <w:spacing w:val="0"/>
          <w:position w:val="0"/>
          <w:sz w:val="22"/>
          <w:shd w:fill="auto" w:val="clear"/>
        </w:rPr>
        <w:t xml:space="preserve">Full   name:   Mohammad   Reza   Hashempour</w:t>
      </w:r>
    </w:p>
    <w:p>
      <w:pPr>
        <w:bidi w:val="true"/>
        <w:spacing w:before="0" w:after="0" w:line="276"/>
        <w:ind w:right="0" w:left="0" w:firstLine="0"/>
        <w:jc w:val="right"/>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 xml:space="preserve">Contact   number:</w:t>
      </w:r>
      <w:r>
        <w:rPr>
          <w:rFonts w:ascii="Arial" w:hAnsi="Arial" w:cs="Arial" w:eastAsia="Arial"/>
          <w:color w:val="auto"/>
          <w:spacing w:val="0"/>
          <w:position w:val="0"/>
          <w:sz w:val="22"/>
          <w:shd w:fill="auto" w:val="clear"/>
        </w:rPr>
        <w:t xml:space="preserve">0989127092320</w:t>
      </w:r>
    </w:p>
    <w:p>
      <w:pPr>
        <w:bidi w:val="true"/>
        <w:spacing w:before="0" w:after="0" w:line="276"/>
        <w:ind w:right="0" w:left="0" w:firstLine="0"/>
        <w:jc w:val="right"/>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 xml:space="preserve">Linked In account: mohammad Hashempour</w:t>
      </w:r>
    </w:p>
    <w:p>
      <w:pPr>
        <w:bidi w:val="true"/>
        <w:spacing w:before="0" w:after="0" w:line="276"/>
        <w:ind w:right="0" w:left="0" w:firstLine="0"/>
        <w:jc w:val="right"/>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 xml:space="preserve">Session   name/   number:</w:t>
      </w:r>
      <w:r>
        <w:rPr>
          <w:rFonts w:ascii="Arial" w:hAnsi="Arial" w:cs="Arial" w:eastAsia="Arial"/>
          <w:color w:val="auto"/>
          <w:spacing w:val="0"/>
          <w:position w:val="0"/>
          <w:sz w:val="22"/>
          <w:shd w:fill="auto" w:val="clear"/>
        </w:rPr>
        <w:t xml:space="preserve"> </w:t>
      </w:r>
    </w:p>
    <w:p>
      <w:pPr>
        <w:bidi w:val="true"/>
        <w:spacing w:before="0" w:after="0" w:line="276"/>
        <w:ind w:right="0" w:left="0" w:firstLine="0"/>
        <w:jc w:val="right"/>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 xml:space="preserve"> </w:t>
      </w:r>
      <w:r>
        <w:rPr>
          <w:rFonts w:ascii="Arial" w:hAnsi="Arial" w:cs="Arial" w:eastAsia="Arial"/>
          <w:color w:val="auto"/>
          <w:spacing w:val="0"/>
          <w:position w:val="0"/>
          <w:sz w:val="22"/>
          <w:shd w:fill="auto" w:val="clear"/>
        </w:rPr>
        <w:t xml:space="preserve">Category: (Oral presentation/ Poster presentation): oral presentation</w:t>
      </w:r>
    </w:p>
  </w:body>
</w:document>
</file>

<file path=word/numbering.xml><?xml version="1.0" encoding="utf-8"?>
<w:numbering xmlns:w="http://schemas.openxmlformats.org/wordprocessingml/2006/main"/>
</file>

<file path=word/styles.xml><?xml version="1.0" encoding="utf-8"?>
<w:styles xmlns:w="http://schemas.openxmlformats.org/wordprocessingml/2006/main"/>
</file>

<file path=word/_rels/document.xml.rels><?xml version="1.0"?><Relationships xmlns="http://schemas.openxmlformats.org/package/2006/relationships"><Relationship Target="numbering.xml" Id="docRId0" Type="http://schemas.openxmlformats.org/officeDocument/2006/relationships/numbering"/><Relationship Target="styles.xml" Id="docRId1" Type="http://schemas.openxmlformats.org/officeDocument/2006/relationships/styles"/></Relationships>
</file>