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TextBody"/>
        <w:widowControl/>
        <w:spacing w:before="0" w:after="0"/>
        <w:jc w:val="center"/>
        <w:rPr>
          <w:rFonts w:ascii="Times New Roman" w:hAnsi="Times New Roman"/>
          <w:b/>
          <w:bCs/>
          <w:color w:val="444444"/>
          <w:sz w:val="28"/>
          <w:szCs w:val="28"/>
        </w:rPr>
      </w:pPr>
      <w:r>
        <w:rPr>
          <w:rFonts w:ascii="Times New Roman" w:hAnsi="Times New Roman"/>
          <w:b/>
          <w:bCs/>
          <w:color w:val="444444"/>
          <w:sz w:val="28"/>
          <w:szCs w:val="28"/>
        </w:rPr>
        <w:t>Rapid, accurate, precise and reliable relative free energy prediction using ensemble based thermodynamic integration</w:t>
      </w:r>
    </w:p>
    <w:p>
      <w:pPr>
        <w:pStyle w:val="TextBody"/>
        <w:widowControl/>
        <w:spacing w:before="0" w:after="0"/>
        <w:jc w:val="center"/>
        <w:rPr>
          <w:rFonts w:ascii="Times New Roman" w:hAnsi="Times New Roman"/>
          <w:color w:val="444444"/>
        </w:rPr>
      </w:pPr>
      <w:r>
        <w:rPr>
          <w:rFonts w:ascii="Times New Roman" w:hAnsi="Times New Roman"/>
          <w:color w:val="444444"/>
        </w:rPr>
      </w:r>
    </w:p>
    <w:p>
      <w:pPr>
        <w:pStyle w:val="TextBody"/>
        <w:widowControl/>
        <w:spacing w:before="0" w:after="0"/>
        <w:jc w:val="center"/>
        <w:rPr>
          <w:rFonts w:ascii="Times New Roman" w:hAnsi="Times New Roman"/>
          <w:i/>
          <w:iCs/>
          <w:color w:val="444444"/>
          <w:sz w:val="22"/>
          <w:szCs w:val="22"/>
        </w:rPr>
      </w:pPr>
      <w:r>
        <w:rPr>
          <w:rFonts w:ascii="Times New Roman" w:hAnsi="Times New Roman"/>
          <w:i/>
          <w:iCs/>
          <w:color w:val="444444"/>
          <w:sz w:val="22"/>
          <w:szCs w:val="22"/>
          <w:u w:val="single"/>
        </w:rPr>
        <w:t>Agastya P. Bhati</w:t>
      </w:r>
      <w:r>
        <w:rPr>
          <w:rFonts w:ascii="Times New Roman" w:hAnsi="Times New Roman"/>
          <w:i/>
          <w:iCs/>
          <w:color w:val="444444"/>
          <w:sz w:val="22"/>
          <w:szCs w:val="22"/>
        </w:rPr>
        <w:t>, Shunzhou Wan, David W. Wright, and Peter V. Coveney</w:t>
      </w:r>
    </w:p>
    <w:p>
      <w:pPr>
        <w:pStyle w:val="TextBody"/>
        <w:widowControl/>
        <w:spacing w:before="0" w:after="0"/>
        <w:jc w:val="center"/>
        <w:rPr>
          <w:rFonts w:ascii="Times New Roman" w:hAnsi="Times New Roman"/>
          <w:i/>
          <w:iCs/>
          <w:color w:val="444444"/>
          <w:sz w:val="22"/>
          <w:szCs w:val="22"/>
        </w:rPr>
      </w:pPr>
      <w:r>
        <w:rPr>
          <w:rFonts w:ascii="Times New Roman" w:hAnsi="Times New Roman"/>
          <w:i/>
          <w:iCs/>
          <w:color w:val="444444"/>
          <w:sz w:val="22"/>
          <w:szCs w:val="22"/>
        </w:rPr>
      </w:r>
    </w:p>
    <w:p>
      <w:pPr>
        <w:pStyle w:val="TextBody"/>
        <w:widowControl/>
        <w:spacing w:before="0" w:after="0"/>
        <w:jc w:val="center"/>
        <w:rPr>
          <w:rFonts w:ascii="Times New Roman" w:hAnsi="Times New Roman"/>
          <w:i/>
          <w:iCs/>
          <w:color w:val="444444"/>
          <w:sz w:val="22"/>
          <w:szCs w:val="22"/>
        </w:rPr>
      </w:pPr>
      <w:r>
        <w:rPr>
          <w:rFonts w:ascii="Times New Roman" w:hAnsi="Times New Roman"/>
          <w:i/>
          <w:iCs/>
          <w:color w:val="444444"/>
          <w:sz w:val="22"/>
          <w:szCs w:val="22"/>
        </w:rPr>
        <w:t>Centre for Computational Science, Department of Chemistry, University College London,</w:t>
      </w:r>
    </w:p>
    <w:p>
      <w:pPr>
        <w:pStyle w:val="TextBody"/>
        <w:widowControl/>
        <w:spacing w:before="0" w:after="0"/>
        <w:jc w:val="center"/>
        <w:rPr>
          <w:rFonts w:ascii="Times New Roman" w:hAnsi="Times New Roman"/>
          <w:i/>
          <w:iCs/>
          <w:color w:val="444444"/>
          <w:sz w:val="22"/>
          <w:szCs w:val="22"/>
        </w:rPr>
      </w:pPr>
      <w:r>
        <w:rPr>
          <w:rFonts w:ascii="Times New Roman" w:hAnsi="Times New Roman"/>
          <w:i/>
          <w:iCs/>
          <w:color w:val="444444"/>
          <w:sz w:val="22"/>
          <w:szCs w:val="22"/>
        </w:rPr>
        <w:t>20 Gordon Street, London WC1H 0AJ, United Kingdom</w:t>
      </w:r>
    </w:p>
    <w:p>
      <w:pPr>
        <w:pStyle w:val="TextBody"/>
        <w:widowControl/>
        <w:spacing w:before="0" w:after="0"/>
        <w:jc w:val="both"/>
        <w:rPr>
          <w:rFonts w:ascii="Times New Roman" w:hAnsi="Times New Roman"/>
          <w:i/>
          <w:iCs/>
          <w:color w:val="444444"/>
          <w:sz w:val="22"/>
          <w:szCs w:val="22"/>
        </w:rPr>
      </w:pPr>
      <w:r>
        <w:rPr>
          <w:rFonts w:ascii="Times New Roman" w:hAnsi="Times New Roman"/>
          <w:i/>
          <w:iCs/>
          <w:color w:val="444444"/>
          <w:sz w:val="22"/>
          <w:szCs w:val="22"/>
        </w:rPr>
      </w:r>
    </w:p>
    <w:p>
      <w:pPr>
        <w:pStyle w:val="TextBody"/>
        <w:widowControl/>
        <w:jc w:val="both"/>
        <w:rPr>
          <w:rFonts w:ascii="Times New Roman" w:hAnsi="Times New Roman"/>
          <w:color w:val="444444"/>
        </w:rPr>
      </w:pPr>
      <w:r>
        <w:rPr>
          <w:rFonts w:ascii="Times New Roman" w:hAnsi="Times New Roman"/>
          <w:color w:val="444444"/>
        </w:rPr>
        <w:t xml:space="preserve">The accurate prediction of the binding affinities of ligands to proteins is a major goal in drug discovery and personalised medicine. The use of </w:t>
      </w:r>
      <w:r>
        <w:rPr>
          <w:rFonts w:ascii="Times New Roman" w:hAnsi="Times New Roman"/>
          <w:i/>
          <w:iCs/>
          <w:color w:val="444444"/>
        </w:rPr>
        <w:t>in silico</w:t>
      </w:r>
      <w:r>
        <w:rPr>
          <w:rFonts w:ascii="Times New Roman" w:hAnsi="Times New Roman"/>
          <w:color w:val="444444"/>
        </w:rPr>
        <w:t xml:space="preserve"> methods to predict binding affinities has been largely confined to academic research until recently, primarily due to the lack of their reproducibility, as well as lack of accuracy and time to solution,. In the last few years, an ensemble based molecular dynamics approach has been proposed that provides a route to reliable predictions of free energies meets the requirements of speed, accuracy, precision and reliability.</w:t>
      </w:r>
      <w:r>
        <w:rPr>
          <w:rFonts w:ascii="Times New Roman" w:hAnsi="Times New Roman"/>
          <w:color w:val="444444"/>
          <w:vertAlign w:val="superscript"/>
        </w:rPr>
        <w:t>1-3</w:t>
      </w:r>
      <w:r>
        <w:rPr>
          <w:rFonts w:ascii="Times New Roman" w:hAnsi="Times New Roman"/>
          <w:color w:val="444444"/>
        </w:rPr>
        <w:t xml:space="preserve"> Here, we describe our approach to thermodynamic integration, known as TIES, which substantially improves the speed, accuracy, precision and reliability of calculated relative binding free energies.</w:t>
      </w:r>
      <w:r>
        <w:rPr>
          <w:rFonts w:ascii="Times New Roman" w:hAnsi="Times New Roman"/>
          <w:color w:val="444444"/>
          <w:vertAlign w:val="superscript"/>
        </w:rPr>
        <w:t>4</w:t>
      </w:r>
      <w:r>
        <w:rPr>
          <w:rFonts w:ascii="Times New Roman" w:hAnsi="Times New Roman"/>
          <w:color w:val="444444"/>
        </w:rPr>
        <w:t xml:space="preserve"> We report the performance of TIES when applied to a diverse set of protein targets and ligands. The results are in very good agreement with experimental data (90% of the predictions agree to within 1 kcal/mol) while the method is reproducible by construction. Statistical uncertainties of the order of 0.5 kcal/mol or less are achieved. This methodology, which is being pursued in the CompBioMed Centre of Excellence (http://www.compbiomed.eu/), has the potential to positively impact the drug design process in the pharmaceutical domain as well as in personalised medicine, with concomitant major industrial and societal impact. TIES is an automated workflow that can be completely run in 8 hours or less, depending on the architecture and hardware available. To exhibit this feature as well as the excellent scalability of TIES, in an unprecedented study we harnessed the combined power of Phases 1 and 2 of PRACE’s</w:t>
      </w:r>
      <w:bookmarkStart w:id="0" w:name="_GoBack"/>
      <w:bookmarkEnd w:id="0"/>
      <w:r>
        <w:rPr>
          <w:rFonts w:ascii="Times New Roman" w:hAnsi="Times New Roman"/>
          <w:color w:val="444444"/>
        </w:rPr>
        <w:t xml:space="preserve"> Tier-0 SuperMUC at the Leibniz Rechnzentrum in Garching, resulting in accurate relative binding affinity predictions of more than 50 biomolecular systems</w:t>
      </w:r>
      <w:r>
        <w:rPr>
          <w:rFonts w:ascii="Times New Roman" w:hAnsi="Times New Roman"/>
          <w:color w:val="444444"/>
          <w:vertAlign w:val="superscript"/>
        </w:rPr>
        <w:t>5</w:t>
      </w:r>
      <w:r>
        <w:rPr>
          <w:rFonts w:ascii="Times New Roman" w:hAnsi="Times New Roman"/>
          <w:color w:val="444444"/>
        </w:rPr>
        <w:t xml:space="preserve"> at a sustained performance in excess of 1 petasflop throughout.</w:t>
      </w:r>
    </w:p>
    <w:p>
      <w:pPr>
        <w:pStyle w:val="TextBody"/>
        <w:widowControl/>
        <w:jc w:val="both"/>
        <w:rPr>
          <w:rFonts w:ascii="Times New Roman" w:hAnsi="Times New Roman"/>
          <w:b/>
          <w:bCs/>
          <w:color w:val="444444"/>
        </w:rPr>
      </w:pPr>
      <w:r>
        <w:rPr>
          <w:rFonts w:ascii="Times New Roman" w:hAnsi="Times New Roman"/>
          <w:b/>
          <w:bCs/>
          <w:color w:val="444444"/>
        </w:rPr>
        <w:t>References:</w:t>
      </w:r>
    </w:p>
    <w:p>
      <w:pPr>
        <w:pStyle w:val="TextBody"/>
        <w:rPr>
          <w:rFonts w:ascii="Times New Roman" w:hAnsi="Times New Roman"/>
        </w:rPr>
      </w:pPr>
      <w:r>
        <w:rPr>
          <w:rFonts w:ascii="Times New Roman" w:hAnsi="Times New Roman"/>
        </w:rPr>
        <w:t xml:space="preserve">1. Sadiq S. K.; Wright D. W.; Kenway O. A.; Coveney P. V. Accurate ensemble molecular dynamics binding free energy ranking of multidrug-resistance HIV-1 protease. </w:t>
      </w:r>
      <w:r>
        <w:rPr>
          <w:rFonts w:ascii="Times New Roman" w:hAnsi="Times New Roman"/>
          <w:i/>
          <w:iCs/>
        </w:rPr>
        <w:t>J. Chem. Inf. Model</w:t>
      </w:r>
      <w:r>
        <w:rPr>
          <w:rFonts w:ascii="Times New Roman" w:hAnsi="Times New Roman"/>
        </w:rPr>
        <w:t xml:space="preserve">. </w:t>
      </w:r>
      <w:r>
        <w:rPr>
          <w:rFonts w:ascii="Times New Roman" w:hAnsi="Times New Roman"/>
          <w:b/>
          <w:bCs/>
        </w:rPr>
        <w:t>2010</w:t>
      </w:r>
      <w:r>
        <w:rPr>
          <w:rFonts w:ascii="Times New Roman" w:hAnsi="Times New Roman"/>
        </w:rPr>
        <w:t>, 50, 890, DOI: 10.1021/ci100007w</w:t>
      </w:r>
    </w:p>
    <w:p>
      <w:pPr>
        <w:pStyle w:val="TextBody"/>
        <w:rPr>
          <w:rFonts w:ascii="Times New Roman" w:hAnsi="Times New Roman"/>
        </w:rPr>
      </w:pPr>
      <w:r>
        <w:rPr>
          <w:rFonts w:ascii="Times New Roman" w:hAnsi="Times New Roman"/>
        </w:rPr>
        <w:t xml:space="preserve">2. Wright D. W.; Hall B. A.; Kenway O. A.; Jha S.; Coveney P. V. Computing clinically relevant binding free energies of HIV-1 protease inhibitors. </w:t>
      </w:r>
      <w:r>
        <w:rPr>
          <w:rFonts w:ascii="Times New Roman" w:hAnsi="Times New Roman"/>
          <w:i/>
          <w:iCs/>
        </w:rPr>
        <w:t>J. Chem. Theory Comput.</w:t>
      </w:r>
      <w:r>
        <w:rPr>
          <w:rFonts w:ascii="Times New Roman" w:hAnsi="Times New Roman"/>
        </w:rPr>
        <w:t xml:space="preserve"> </w:t>
      </w:r>
      <w:r>
        <w:rPr>
          <w:rFonts w:ascii="Times New Roman" w:hAnsi="Times New Roman"/>
          <w:b/>
          <w:bCs/>
        </w:rPr>
        <w:t>2014</w:t>
      </w:r>
      <w:r>
        <w:rPr>
          <w:rFonts w:ascii="Times New Roman" w:hAnsi="Times New Roman"/>
        </w:rPr>
        <w:t>, 10, 1228, DOI: 10.1021/ct4007037</w:t>
      </w:r>
    </w:p>
    <w:p>
      <w:pPr>
        <w:pStyle w:val="TextBody"/>
        <w:rPr>
          <w:rFonts w:ascii="Times New Roman" w:hAnsi="Times New Roman"/>
        </w:rPr>
      </w:pPr>
      <w:r>
        <w:rPr>
          <w:rFonts w:ascii="Times New Roman" w:hAnsi="Times New Roman"/>
        </w:rPr>
        <w:t xml:space="preserve">3. Wan S.; Knapp B.; Wright D. W.; Deane C. M.; Coveney P. V. Rapid, precise and reproducible prediction of peptide-MHC binding affinities from molecular dynamics that correlate well with experiment. </w:t>
      </w:r>
      <w:r>
        <w:rPr>
          <w:rFonts w:ascii="Times New Roman" w:hAnsi="Times New Roman"/>
          <w:i/>
          <w:iCs/>
        </w:rPr>
        <w:t>J. Chem. Theory Comput.</w:t>
      </w:r>
      <w:r>
        <w:rPr>
          <w:rFonts w:ascii="Times New Roman" w:hAnsi="Times New Roman"/>
        </w:rPr>
        <w:t xml:space="preserve"> </w:t>
      </w:r>
      <w:r>
        <w:rPr>
          <w:rFonts w:ascii="Times New Roman" w:hAnsi="Times New Roman"/>
          <w:b/>
          <w:bCs/>
        </w:rPr>
        <w:t>2015</w:t>
      </w:r>
      <w:r>
        <w:rPr>
          <w:rFonts w:ascii="Times New Roman" w:hAnsi="Times New Roman"/>
        </w:rPr>
        <w:t>, 11, 3346, DOI: 10.1021/acs.jctc.5b00179</w:t>
      </w:r>
    </w:p>
    <w:p>
      <w:pPr>
        <w:pStyle w:val="TextBody"/>
        <w:rPr>
          <w:rFonts w:ascii="Times New Roman" w:hAnsi="Times New Roman"/>
        </w:rPr>
      </w:pPr>
      <w:r>
        <w:rPr>
          <w:rFonts w:ascii="Times New Roman" w:hAnsi="Times New Roman"/>
        </w:rPr>
        <w:t xml:space="preserve">4. Bhati A. P.; Wan S.; Wright D. W.; Coveney P. V. Rapid, Accurate, Precise, and Reliable Relative Free Energy Prediction Using Ensemble Based Thermodynamic Integration. </w:t>
      </w:r>
      <w:r>
        <w:rPr>
          <w:rStyle w:val="Quotation"/>
          <w:rFonts w:ascii="Times New Roman" w:hAnsi="Times New Roman"/>
        </w:rPr>
        <w:t xml:space="preserve">J. of Chem. Theory Comput. </w:t>
      </w:r>
      <w:r>
        <w:rPr>
          <w:rStyle w:val="StrongEmphasis"/>
          <w:rFonts w:ascii="Times New Roman" w:hAnsi="Times New Roman"/>
        </w:rPr>
        <w:t xml:space="preserve">Article ASAP, </w:t>
      </w:r>
      <w:r>
        <w:rPr>
          <w:rFonts w:ascii="Times New Roman" w:hAnsi="Times New Roman"/>
        </w:rPr>
        <w:t>DOI: 10.1021/acs.jctc.6b00979</w:t>
      </w:r>
    </w:p>
    <w:p>
      <w:pPr>
        <w:pStyle w:val="TextBody"/>
        <w:rPr>
          <w:rFonts w:ascii="Times New Roman" w:hAnsi="Times New Roman"/>
        </w:rPr>
      </w:pPr>
      <w:r>
        <w:rPr>
          <w:rFonts w:ascii="Times New Roman" w:hAnsi="Times New Roman"/>
        </w:rPr>
        <w:t xml:space="preserve">5. Highfield R. Science Museum Blog. </w:t>
      </w:r>
      <w:hyperlink r:id="rId2">
        <w:bookmarkStart w:id="1" w:name="__DdeLink__188_1909448548"/>
        <w:r>
          <w:rPr>
            <w:rStyle w:val="InternetLink"/>
            <w:rFonts w:ascii="Times New Roman" w:hAnsi="Times New Roman"/>
          </w:rPr>
          <w:t>https://blog.sciencemuseum.org.uk/supercomputer-bid-to-create-the-first-truly-personalised-medicine/</w:t>
        </w:r>
      </w:hyperlink>
      <w:bookmarkEnd w:id="1"/>
      <w:r>
        <w:rPr>
          <w:rFonts w:ascii="Times New Roman" w:hAnsi="Times New Roman"/>
        </w:rPr>
        <w:t xml:space="preserve"> </w:t>
      </w:r>
    </w:p>
    <w:p>
      <w:pPr>
        <w:pStyle w:val="TextBody"/>
        <w:rPr>
          <w:rFonts w:ascii="Times New Roman" w:hAnsi="Times New Roman"/>
        </w:rPr>
      </w:pPr>
      <w:r>
        <w:rPr>
          <w:rFonts w:ascii="Times New Roman" w:hAnsi="Times New Roman"/>
        </w:rPr>
      </w:r>
    </w:p>
    <w:p>
      <w:pPr>
        <w:pStyle w:val="Normal"/>
        <w:rPr>
          <w:rFonts w:ascii="Times New Roman" w:hAnsi="Times New Roman"/>
          <w:b/>
          <w:bCs/>
        </w:rPr>
      </w:pPr>
      <w:r>
        <w:rPr>
          <w:rFonts w:ascii="Times New Roman" w:hAnsi="Times New Roman"/>
          <w:b/>
          <w:bCs/>
        </w:rPr>
        <w:t>Biography:</w:t>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t xml:space="preserve">Agastya P. Bhati is a PhD student at the Centre for Computational Science, Department of Chemistry, University College London. He is interested in developing methods based on </w:t>
      </w:r>
      <w:r>
        <w:rPr>
          <w:rFonts w:ascii="Times New Roman" w:hAnsi="Times New Roman"/>
        </w:rPr>
        <w:t>statistical thermodynamics</w:t>
      </w:r>
      <w:r>
        <w:rPr>
          <w:rFonts w:ascii="Times New Roman" w:hAnsi="Times New Roman"/>
        </w:rPr>
        <w:t xml:space="preserve"> to </w:t>
      </w:r>
      <w:r>
        <w:rPr>
          <w:rFonts w:ascii="Times New Roman" w:hAnsi="Times New Roman"/>
        </w:rPr>
        <w:t xml:space="preserve">make accurate, precise and reproducible </w:t>
      </w:r>
      <w:r>
        <w:rPr>
          <w:rFonts w:ascii="Times New Roman" w:hAnsi="Times New Roman"/>
        </w:rPr>
        <w:t xml:space="preserve">ligand-protein binding affinity </w:t>
      </w:r>
      <w:r>
        <w:rPr>
          <w:rFonts w:ascii="Times New Roman" w:hAnsi="Times New Roman"/>
        </w:rPr>
        <w:t>predictions in a short time using classical molecular dynamics simulations. He is currently focussing on the development and automation of a workflow which yields accurate, precise and reproducible relative binding affinities for alchemical tranformations between two ligands bound to a traget protein as well as protein mutations in ligand-protein complexes. The workflow is highly scalable substantially improving its applicability in the pharmaceutical domain and personalised medicine.</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2"/>
    <w:family w:val="auto"/>
    <w:pitch w:val="default"/>
  </w:font>
  <w:font w:name="Lucida Grande">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w:docDefaults>
    <w:rPrDefault>
      <w:rPr>
        <w:rFonts w:ascii="Liberation Serif" w:hAnsi="Liberation Serif" w:eastAsia="Droid Sans Fallback" w:cs="FreeSans"/>
        <w:sz w:val="24"/>
        <w:szCs w:val="24"/>
        <w:lang w:val="en-GB" w:eastAsia="zh-CN" w:bidi="hi-IN"/>
      </w:rPr>
    </w:rPrDefault>
    <w:pPrDefault>
      <w:pPr/>
    </w:pPrDefault>
  </w:docDefaults>
  <w:latentStyles w:count="276" w:defQFormat="0" w:defUnhideWhenUsed="1" w:defSemiHidden="1" w:defUIPriority="99" w:defLockedState="0">
    <w:lsdException w:qFormat="1" w:semiHidden="0" w:uiPriority="0" w:unhideWhenUsed="0" w:name="Normal"/>
    <w:lsdException w:qFormat="1" w:semiHidden="0" w:uiPriority="9" w:unhideWhenUsed="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iPriority="10" w:unhideWhenUsed="0" w:name="Title"/>
    <w:lsdException w:uiPriority="1" w:name="Default Paragraph Font"/>
    <w:lsdException w:qFormat="1" w:semiHidden="0" w:uiPriority="11" w:unhideWhenUsed="0" w:name="Subtitle"/>
    <w:lsdException w:qFormat="1" w:semiHidden="0" w:uiPriority="22" w:unhideWhenUsed="0" w:name="Strong"/>
    <w:lsdException w:qFormat="1" w:semiHidden="0" w:uiPriority="20" w:unhideWhenUsed="0" w:name="Emphasis"/>
    <w:lsdException w:semiHidden="0" w:uiPriority="59" w:unhideWhenUsed="0" w:name="Table Grid"/>
    <w:lsdException w:unhideWhenUsed="0" w:name="Placeholder Text"/>
    <w:lsdException w:qFormat="1" w:semiHidden="0" w:uiPriority="1" w:unhideWhenUsed="0" w:name="No Spacing"/>
    <w:lsdException w:semiHidden="0" w:uiPriority="60" w:unhideWhenUsed="0" w:name="Light Shading"/>
    <w:lsdException w:semiHidden="0" w:uiPriority="61" w:unhideWhenUsed="0" w:name="Light List"/>
    <w:lsdException w:semiHidden="0" w:uiPriority="62" w:unhideWhenUsed="0" w:name="Light Grid"/>
    <w:lsdException w:semiHidden="0" w:uiPriority="63" w:unhideWhenUsed="0" w:name="Medium Shading 1"/>
    <w:lsdException w:semiHidden="0" w:uiPriority="64" w:unhideWhenUsed="0" w:name="Medium Shading 2"/>
    <w:lsdException w:semiHidden="0" w:uiPriority="65" w:unhideWhenUsed="0" w:name="Medium List 1"/>
    <w:lsdException w:semiHidden="0" w:uiPriority="66" w:unhideWhenUsed="0" w:name="Medium List 2"/>
    <w:lsdException w:semiHidden="0" w:uiPriority="67" w:unhideWhenUsed="0" w:name="Medium Grid 1"/>
    <w:lsdException w:semiHidden="0" w:uiPriority="68" w:unhideWhenUsed="0" w:name="Medium Grid 2"/>
    <w:lsdException w:semiHidden="0" w:uiPriority="69" w:unhideWhenUsed="0" w:name="Medium Grid 3"/>
    <w:lsdException w:semiHidden="0" w:uiPriority="70" w:unhideWhenUsed="0" w:name="Dark List"/>
    <w:lsdException w:semiHidden="0" w:uiPriority="71" w:unhideWhenUsed="0" w:name="Colorful Shading"/>
    <w:lsdException w:semiHidden="0" w:uiPriority="72" w:unhideWhenUsed="0" w:name="Colorful List"/>
    <w:lsdException w:semiHidden="0" w:uiPriority="73" w:unhideWhenUsed="0" w:name="Colorful Grid"/>
    <w:lsdException w:semiHidden="0" w:uiPriority="60" w:unhideWhenUsed="0" w:name="Light Shading Accent 1"/>
    <w:lsdException w:semiHidden="0" w:uiPriority="61" w:unhideWhenUsed="0" w:name="Light List Accent 1"/>
    <w:lsdException w:semiHidden="0" w:uiPriority="62" w:unhideWhenUsed="0" w:name="Light Grid Accent 1"/>
    <w:lsdException w:semiHidden="0" w:uiPriority="63" w:unhideWhenUsed="0" w:name="Medium Shading 1 Accent 1"/>
    <w:lsdException w:semiHidden="0" w:uiPriority="64" w:unhideWhenUsed="0" w:name="Medium Shading 2 Accent 1"/>
    <w:lsdException w:semiHidden="0" w:uiPriority="65" w:unhideWhenUsed="0" w:name="Medium List 1 Accent 1"/>
    <w:lsdException w:unhideWhenUsed="0" w:name="Revision"/>
    <w:lsdException w:qFormat="1" w:semiHidden="0" w:uiPriority="34" w:unhideWhenUsed="0" w:name="List Paragraph"/>
    <w:lsdException w:qFormat="1" w:semiHidden="0" w:uiPriority="29" w:unhideWhenUsed="0" w:name="Quote"/>
    <w:lsdException w:qFormat="1" w:semiHidden="0" w:uiPriority="30" w:unhideWhenUsed="0" w:name="Intense Quote"/>
    <w:lsdException w:semiHidden="0" w:uiPriority="66" w:unhideWhenUsed="0" w:name="Medium List 2 Accent 1"/>
    <w:lsdException w:semiHidden="0" w:uiPriority="67" w:unhideWhenUsed="0" w:name="Medium Grid 1 Accent 1"/>
    <w:lsdException w:semiHidden="0" w:uiPriority="68" w:unhideWhenUsed="0" w:name="Medium Grid 2 Accent 1"/>
    <w:lsdException w:semiHidden="0" w:uiPriority="69" w:unhideWhenUsed="0" w:name="Medium Grid 3 Accent 1"/>
    <w:lsdException w:semiHidden="0" w:uiPriority="70" w:unhideWhenUsed="0" w:name="Dark List Accent 1"/>
    <w:lsdException w:semiHidden="0" w:uiPriority="71" w:unhideWhenUsed="0" w:name="Colorful Shading Accent 1"/>
    <w:lsdException w:semiHidden="0" w:uiPriority="72" w:unhideWhenUsed="0" w:name="Colorful List Accent 1"/>
    <w:lsdException w:semiHidden="0" w:uiPriority="73" w:unhideWhenUsed="0" w:name="Colorful Grid Accent 1"/>
    <w:lsdException w:semiHidden="0" w:uiPriority="60" w:unhideWhenUsed="0" w:name="Light Shading Accent 2"/>
    <w:lsdException w:semiHidden="0" w:uiPriority="61" w:unhideWhenUsed="0" w:name="Light List Accent 2"/>
    <w:lsdException w:semiHidden="0" w:uiPriority="62" w:unhideWhenUsed="0" w:name="Light Grid Accent 2"/>
    <w:lsdException w:semiHidden="0" w:uiPriority="63" w:unhideWhenUsed="0" w:name="Medium Shading 1 Accent 2"/>
    <w:lsdException w:semiHidden="0" w:uiPriority="64" w:unhideWhenUsed="0" w:name="Medium Shading 2 Accent 2"/>
    <w:lsdException w:semiHidden="0" w:uiPriority="65" w:unhideWhenUsed="0" w:name="Medium List 1 Accent 2"/>
    <w:lsdException w:semiHidden="0" w:uiPriority="66" w:unhideWhenUsed="0" w:name="Medium List 2 Accent 2"/>
    <w:lsdException w:semiHidden="0" w:uiPriority="67" w:unhideWhenUsed="0" w:name="Medium Grid 1 Accent 2"/>
    <w:lsdException w:semiHidden="0" w:uiPriority="68" w:unhideWhenUsed="0" w:name="Medium Grid 2 Accent 2"/>
    <w:lsdException w:semiHidden="0" w:uiPriority="69" w:unhideWhenUsed="0" w:name="Medium Grid 3 Accent 2"/>
    <w:lsdException w:semiHidden="0" w:uiPriority="70" w:unhideWhenUsed="0" w:name="Dark List Accent 2"/>
    <w:lsdException w:semiHidden="0" w:uiPriority="71" w:unhideWhenUsed="0" w:name="Colorful Shading Accent 2"/>
    <w:lsdException w:semiHidden="0" w:uiPriority="72" w:unhideWhenUsed="0" w:name="Colorful List Accent 2"/>
    <w:lsdException w:semiHidden="0" w:uiPriority="73" w:unhideWhenUsed="0" w:name="Colorful Grid Accent 2"/>
    <w:lsdException w:semiHidden="0" w:uiPriority="60" w:unhideWhenUsed="0" w:name="Light Shading Accent 3"/>
    <w:lsdException w:semiHidden="0" w:uiPriority="61" w:unhideWhenUsed="0" w:name="Light List Accent 3"/>
    <w:lsdException w:semiHidden="0" w:uiPriority="62" w:unhideWhenUsed="0" w:name="Light Grid Accent 3"/>
    <w:lsdException w:semiHidden="0" w:uiPriority="63" w:unhideWhenUsed="0" w:name="Medium Shading 1 Accent 3"/>
    <w:lsdException w:semiHidden="0" w:uiPriority="64" w:unhideWhenUsed="0" w:name="Medium Shading 2 Accent 3"/>
    <w:lsdException w:semiHidden="0" w:uiPriority="65" w:unhideWhenUsed="0" w:name="Medium List 1 Accent 3"/>
    <w:lsdException w:semiHidden="0" w:uiPriority="66" w:unhideWhenUsed="0" w:name="Medium List 2 Accent 3"/>
    <w:lsdException w:semiHidden="0" w:uiPriority="67" w:unhideWhenUsed="0" w:name="Medium Grid 1 Accent 3"/>
    <w:lsdException w:semiHidden="0" w:uiPriority="68" w:unhideWhenUsed="0" w:name="Medium Grid 2 Accent 3"/>
    <w:lsdException w:semiHidden="0" w:uiPriority="69" w:unhideWhenUsed="0" w:name="Medium Grid 3 Accent 3"/>
    <w:lsdException w:semiHidden="0" w:uiPriority="70" w:unhideWhenUsed="0" w:name="Dark List Accent 3"/>
    <w:lsdException w:semiHidden="0" w:uiPriority="71" w:unhideWhenUsed="0" w:name="Colorful Shading Accent 3"/>
    <w:lsdException w:semiHidden="0" w:uiPriority="72" w:unhideWhenUsed="0" w:name="Colorful List Accent 3"/>
    <w:lsdException w:semiHidden="0" w:uiPriority="73" w:unhideWhenUsed="0" w:name="Colorful Grid Accent 3"/>
    <w:lsdException w:semiHidden="0" w:uiPriority="60" w:unhideWhenUsed="0" w:name="Light Shading Accent 4"/>
    <w:lsdException w:semiHidden="0" w:uiPriority="61" w:unhideWhenUsed="0" w:name="Light List Accent 4"/>
    <w:lsdException w:semiHidden="0" w:uiPriority="62" w:unhideWhenUsed="0" w:name="Light Grid Accent 4"/>
    <w:lsdException w:semiHidden="0" w:uiPriority="63" w:unhideWhenUsed="0" w:name="Medium Shading 1 Accent 4"/>
    <w:lsdException w:semiHidden="0" w:uiPriority="64" w:unhideWhenUsed="0" w:name="Medium Shading 2 Accent 4"/>
    <w:lsdException w:semiHidden="0" w:uiPriority="65" w:unhideWhenUsed="0" w:name="Medium List 1 Accent 4"/>
    <w:lsdException w:semiHidden="0" w:uiPriority="66" w:unhideWhenUsed="0" w:name="Medium List 2 Accent 4"/>
    <w:lsdException w:semiHidden="0" w:uiPriority="67" w:unhideWhenUsed="0" w:name="Medium Grid 1 Accent 4"/>
    <w:lsdException w:semiHidden="0" w:uiPriority="68" w:unhideWhenUsed="0" w:name="Medium Grid 2 Accent 4"/>
    <w:lsdException w:semiHidden="0" w:uiPriority="69" w:unhideWhenUsed="0" w:name="Medium Grid 3 Accent 4"/>
    <w:lsdException w:semiHidden="0" w:uiPriority="70" w:unhideWhenUsed="0" w:name="Dark List Accent 4"/>
    <w:lsdException w:semiHidden="0" w:uiPriority="71" w:unhideWhenUsed="0" w:name="Colorful Shading Accent 4"/>
    <w:lsdException w:semiHidden="0" w:uiPriority="72" w:unhideWhenUsed="0" w:name="Colorful List Accent 4"/>
    <w:lsdException w:semiHidden="0" w:uiPriority="73" w:unhideWhenUsed="0" w:name="Colorful Grid Accent 4"/>
    <w:lsdException w:semiHidden="0" w:uiPriority="60" w:unhideWhenUsed="0" w:name="Light Shading Accent 5"/>
    <w:lsdException w:semiHidden="0" w:uiPriority="61" w:unhideWhenUsed="0" w:name="Light List Accent 5"/>
    <w:lsdException w:semiHidden="0" w:uiPriority="62" w:unhideWhenUsed="0" w:name="Light Grid Accent 5"/>
    <w:lsdException w:semiHidden="0" w:uiPriority="63" w:unhideWhenUsed="0" w:name="Medium Shading 1 Accent 5"/>
    <w:lsdException w:semiHidden="0" w:uiPriority="64" w:unhideWhenUsed="0" w:name="Medium Shading 2 Accent 5"/>
    <w:lsdException w:semiHidden="0" w:uiPriority="65" w:unhideWhenUsed="0" w:name="Medium List 1 Accent 5"/>
    <w:lsdException w:semiHidden="0" w:uiPriority="66" w:unhideWhenUsed="0" w:name="Medium List 2 Accent 5"/>
    <w:lsdException w:semiHidden="0" w:uiPriority="67" w:unhideWhenUsed="0" w:name="Medium Grid 1 Accent 5"/>
    <w:lsdException w:semiHidden="0" w:uiPriority="68" w:unhideWhenUsed="0" w:name="Medium Grid 2 Accent 5"/>
    <w:lsdException w:semiHidden="0" w:uiPriority="69" w:unhideWhenUsed="0" w:name="Medium Grid 3 Accent 5"/>
    <w:lsdException w:semiHidden="0" w:uiPriority="70" w:unhideWhenUsed="0" w:name="Dark List Accent 5"/>
    <w:lsdException w:semiHidden="0" w:uiPriority="71" w:unhideWhenUsed="0" w:name="Colorful Shading Accent 5"/>
    <w:lsdException w:semiHidden="0" w:uiPriority="72" w:unhideWhenUsed="0" w:name="Colorful List Accent 5"/>
    <w:lsdException w:semiHidden="0" w:uiPriority="73" w:unhideWhenUsed="0" w:name="Colorful Grid Accent 5"/>
    <w:lsdException w:semiHidden="0" w:uiPriority="60" w:unhideWhenUsed="0" w:name="Light Shading Accent 6"/>
    <w:lsdException w:semiHidden="0" w:uiPriority="61" w:unhideWhenUsed="0" w:name="Light List Accent 6"/>
    <w:lsdException w:semiHidden="0" w:uiPriority="62" w:unhideWhenUsed="0" w:name="Light Grid Accent 6"/>
    <w:lsdException w:semiHidden="0" w:uiPriority="63" w:unhideWhenUsed="0" w:name="Medium Shading 1 Accent 6"/>
    <w:lsdException w:semiHidden="0" w:uiPriority="64" w:unhideWhenUsed="0" w:name="Medium Shading 2 Accent 6"/>
    <w:lsdException w:semiHidden="0" w:uiPriority="65" w:unhideWhenUsed="0" w:name="Medium List 1 Accent 6"/>
    <w:lsdException w:semiHidden="0" w:uiPriority="66" w:unhideWhenUsed="0" w:name="Medium List 2 Accent 6"/>
    <w:lsdException w:semiHidden="0" w:uiPriority="67" w:unhideWhenUsed="0" w:name="Medium Grid 1 Accent 6"/>
    <w:lsdException w:semiHidden="0" w:uiPriority="68" w:unhideWhenUsed="0" w:name="Medium Grid 2 Accent 6"/>
    <w:lsdException w:semiHidden="0" w:uiPriority="69" w:unhideWhenUsed="0" w:name="Medium Grid 3 Accent 6"/>
    <w:lsdException w:semiHidden="0" w:uiPriority="70" w:unhideWhenUsed="0" w:name="Dark List Accent 6"/>
    <w:lsdException w:semiHidden="0" w:uiPriority="71" w:unhideWhenUsed="0" w:name="Colorful Shading Accent 6"/>
    <w:lsdException w:semiHidden="0" w:uiPriority="72" w:unhideWhenUsed="0" w:name="Colorful List Accent 6"/>
    <w:lsdException w:semiHidden="0" w:uiPriority="73" w:unhideWhenUsed="0" w:name="Colorful Grid Accent 6"/>
    <w:lsdException w:qFormat="1" w:semiHidden="0" w:uiPriority="19" w:unhideWhenUsed="0" w:name="Subtle Emphasis"/>
    <w:lsdException w:qFormat="1" w:semiHidden="0" w:uiPriority="21" w:unhideWhenUsed="0" w:name="Intense Emphasis"/>
    <w:lsdException w:qFormat="1" w:semiHidden="0" w:uiPriority="31" w:unhideWhenUsed="0" w:name="Subtle Reference"/>
    <w:lsdException w:qFormat="1" w:semiHidden="0" w:uiPriority="32" w:unhideWhenUsed="0" w:name="Intense Reference"/>
    <w:lsdException w:qFormat="1" w:semiHidden="0" w:uiPriority="33" w:unhideWhenUsed="0" w:name="Book Title"/>
    <w:lsdException w:uiPriority="37" w:name="Bibliography"/>
    <w:lsdException w:qFormat="1" w:uiPriority="39" w:name="TOC Heading"/>
  </w:latentStyles>
  <w:style w:type="paragraph" w:styleId="Normal" w:default="1">
    <w:name w:val="Normal"/>
    <w:pPr>
      <w:widowControl w:val="false"/>
      <w:suppressAutoHyphens w:val="true"/>
      <w:bidi w:val="0"/>
      <w:jc w:val="left"/>
    </w:pPr>
    <w:rPr>
      <w:rFonts w:ascii="Liberation Serif" w:hAnsi="Liberation Serif" w:eastAsia="Droid Sans Fallback" w:cs="FreeSans"/>
      <w:color w:val="00000A"/>
      <w:sz w:val="24"/>
      <w:szCs w:val="24"/>
      <w:lang w:val="en-GB" w:eastAsia="zh-CN" w:bidi="hi-IN"/>
    </w:rPr>
  </w:style>
  <w:style w:type="paragraph" w:styleId="Heading4">
    <w:name w:val="Heading 4"/>
    <w:basedOn w:val="Heading"/>
    <w:pPr>
      <w:spacing w:before="120" w:after="120"/>
      <w:outlineLvl w:val="3"/>
    </w:pPr>
    <w:rPr>
      <w:rFonts w:ascii="Liberation Serif" w:hAnsi="Liberation Serif"/>
      <w:b/>
      <w:bCs/>
      <w:color w:val="808080"/>
      <w:sz w:val="24"/>
      <w:szCs w:val="24"/>
    </w:rPr>
  </w:style>
  <w:style w:type="character" w:styleId="DefaultParagraphFont" w:default="1">
    <w:name w:val="Default Paragraph Font"/>
    <w:uiPriority w:val="1"/>
    <w:semiHidden/>
    <w:unhideWhenUsed/>
    <w:rPr/>
  </w:style>
  <w:style w:type="character" w:styleId="Bullets" w:customStyle="1">
    <w:name w:val="Bullets"/>
    <w:rPr>
      <w:rFonts w:ascii="OpenSymbol" w:hAnsi="OpenSymbol" w:eastAsia="OpenSymbol" w:cs="OpenSymbol"/>
    </w:rPr>
  </w:style>
  <w:style w:type="character" w:styleId="NumberingSymbols" w:customStyle="1">
    <w:name w:val="Numbering Symbols"/>
    <w:rPr/>
  </w:style>
  <w:style w:type="character" w:styleId="InternetLink" w:customStyle="1">
    <w:name w:val="Internet Link"/>
    <w:rPr>
      <w:color w:val="000080"/>
      <w:u w:val="single"/>
      <w:lang w:val="uz-Cyrl-UZ" w:eastAsia="uz-Cyrl-UZ" w:bidi="uz-Cyrl-UZ"/>
    </w:rPr>
  </w:style>
  <w:style w:type="character" w:styleId="StrongEmphasis" w:customStyle="1">
    <w:name w:val="Strong Emphasis"/>
    <w:rPr>
      <w:b/>
      <w:bCs/>
    </w:rPr>
  </w:style>
  <w:style w:type="character" w:styleId="Quotation" w:customStyle="1">
    <w:name w:val="Quotation"/>
    <w:rPr>
      <w:i/>
      <w:iCs/>
    </w:rPr>
  </w:style>
  <w:style w:type="character" w:styleId="BalloonTextChar" w:customStyle="1">
    <w:name w:val="Balloon Text Char"/>
    <w:uiPriority w:val="99"/>
    <w:semiHidden/>
    <w:link w:val="BalloonText"/>
    <w:rsid w:val="005f486d"/>
    <w:basedOn w:val="DefaultParagraphFont"/>
    <w:rPr>
      <w:rFonts w:ascii="Lucida Grande" w:hAnsi="Lucida Grande" w:cs="Lucida Grande"/>
      <w:sz w:val="18"/>
      <w:szCs w:val="18"/>
    </w:rPr>
  </w:style>
  <w:style w:type="character" w:styleId="ListLabel1">
    <w:name w:val="ListLabel 1"/>
    <w:rPr>
      <w:rFonts w:cs="Symbol"/>
    </w:rPr>
  </w:style>
  <w:style w:type="paragraph" w:styleId="Heading" w:customStyle="1">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customStyle="1">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customStyle="1">
    <w:name w:val="Index"/>
    <w:basedOn w:val="Normal"/>
    <w:pPr>
      <w:suppressLineNumbers/>
    </w:pPr>
    <w:rPr>
      <w:rFonts w:cs="FreeSans"/>
    </w:rPr>
  </w:style>
  <w:style w:type="paragraph" w:styleId="Caption1">
    <w:name w:val="caption"/>
    <w:basedOn w:val="Normal"/>
    <w:pPr>
      <w:suppressLineNumbers/>
      <w:spacing w:before="120" w:after="120"/>
    </w:pPr>
    <w:rPr>
      <w:i/>
      <w:iCs/>
    </w:rPr>
  </w:style>
  <w:style w:type="paragraph" w:styleId="BalloonText">
    <w:name w:val="Balloon Text"/>
    <w:uiPriority w:val="99"/>
    <w:semiHidden/>
    <w:unhideWhenUsed/>
    <w:link w:val="BalloonTextChar"/>
    <w:rsid w:val="005f486d"/>
    <w:basedOn w:val="Normal"/>
    <w:pPr/>
    <w:rPr>
      <w:rFonts w:ascii="Lucida Grande" w:hAnsi="Lucida Grande" w:cs="Lucida Grande"/>
      <w:sz w:val="18"/>
      <w:szCs w:val="18"/>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log.sciencemuseum.org.uk/supercomputer-bid-to-create-the-first-truly-personalised-medicine/"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Application>LibreOffice/4.2.8.2$Linux_X86_64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2016-12-22T16:18:00Z</dcterms:created>
  <dc:language>en-GB</dc:language>
  <cp:lastModifiedBy>Peter Coveney</cp:lastModifiedBy>
  <dcterms:modified xsi:type="dcterms:W3CDTF">2016-12-24T10:22:00Z</dcterms:modified>
  <cp:revision>16</cp:revision>
</cp:coreProperties>
</file>