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4B54DE">
      <w:pPr>
        <w:jc w:val="both"/>
        <w:rPr>
          <w:sz w:val="22"/>
          <w:szCs w:val="22"/>
          <w:lang w:val="en-GB"/>
        </w:rPr>
      </w:pPr>
      <w:r>
        <w:rPr>
          <w:sz w:val="22"/>
          <w:szCs w:val="22"/>
          <w:lang w:val="en-GB"/>
        </w:rPr>
        <w:t xml:space="preserve">                                                                                                                       </w:t>
      </w:r>
      <w:r w:rsidR="004B54DE">
        <w:rPr>
          <w:noProof/>
          <w:lang w:val="en-US" w:eastAsia="en-US"/>
        </w:rPr>
        <w:drawing>
          <wp:inline distT="0" distB="0" distL="0" distR="0">
            <wp:extent cx="1417865" cy="1626920"/>
            <wp:effectExtent l="19050" t="0" r="0" b="0"/>
            <wp:docPr id="2" name="Picture 1" descr="http://www.epri.sci.eg/images/Dr.-Yass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epri.sci.eg/images/Dr.-Yasser.jpg"/>
                    <pic:cNvPicPr>
                      <a:picLocks noChangeAspect="1" noChangeArrowheads="1"/>
                    </pic:cNvPicPr>
                  </pic:nvPicPr>
                  <pic:blipFill>
                    <a:blip r:embed="rId8"/>
                    <a:srcRect/>
                    <a:stretch>
                      <a:fillRect/>
                    </a:stretch>
                  </pic:blipFill>
                  <pic:spPr bwMode="auto">
                    <a:xfrm>
                      <a:off x="0" y="0"/>
                      <a:ext cx="1417766" cy="1626807"/>
                    </a:xfrm>
                    <a:prstGeom prst="rect">
                      <a:avLst/>
                    </a:prstGeom>
                    <a:noFill/>
                    <a:ln w="9525">
                      <a:noFill/>
                      <a:miter lim="800000"/>
                      <a:headEnd/>
                      <a:tailEnd/>
                    </a:ln>
                  </pic:spPr>
                </pic:pic>
              </a:graphicData>
            </a:graphic>
          </wp:inline>
        </w:drawing>
      </w:r>
    </w:p>
    <w:p w:rsidR="004B54DE" w:rsidRPr="004B54DE" w:rsidRDefault="004B54DE" w:rsidP="004B54DE">
      <w:pPr>
        <w:pStyle w:val="Heading2"/>
        <w:spacing w:line="315" w:lineRule="atLeast"/>
        <w:rPr>
          <w:rFonts w:ascii="Times New Roman" w:hAnsi="Times New Roman"/>
          <w:b w:val="0"/>
          <w:bCs w:val="0"/>
          <w:color w:val="auto"/>
        </w:rPr>
      </w:pPr>
      <w:r w:rsidRPr="004B54DE">
        <w:rPr>
          <w:rFonts w:ascii="Times New Roman" w:hAnsi="Times New Roman"/>
          <w:b w:val="0"/>
          <w:bCs w:val="0"/>
          <w:color w:val="auto"/>
        </w:rPr>
        <w:t xml:space="preserve">Adsorption of </w:t>
      </w:r>
      <w:r w:rsidRPr="004B54DE">
        <w:rPr>
          <w:rFonts w:ascii="Times New Roman" w:hAnsi="Times New Roman" w:cs="Times New Roman"/>
          <w:b w:val="0"/>
          <w:bCs w:val="0"/>
          <w:color w:val="auto"/>
        </w:rPr>
        <w:t xml:space="preserve">crude oil </w:t>
      </w:r>
      <w:r w:rsidRPr="004B54DE">
        <w:rPr>
          <w:rFonts w:ascii="Times New Roman" w:hAnsi="Times New Roman"/>
          <w:b w:val="0"/>
          <w:bCs w:val="0"/>
          <w:color w:val="auto"/>
        </w:rPr>
        <w:t xml:space="preserve">from oily wastewater using porous </w:t>
      </w:r>
      <w:r w:rsidRPr="004B54DE">
        <w:rPr>
          <w:rFonts w:ascii="Times New Roman" w:hAnsi="Times New Roman" w:cs="Times New Roman"/>
          <w:b w:val="0"/>
          <w:bCs w:val="0"/>
          <w:color w:val="auto"/>
        </w:rPr>
        <w:t xml:space="preserve">poly (vinyl alcohol) hydrogel </w:t>
      </w:r>
    </w:p>
    <w:p w:rsidR="004B54DE" w:rsidRPr="002A0DC8" w:rsidRDefault="00AC3BCD" w:rsidP="004B54DE">
      <w:pPr>
        <w:autoSpaceDE w:val="0"/>
        <w:autoSpaceDN w:val="0"/>
        <w:adjustRightInd w:val="0"/>
        <w:jc w:val="both"/>
        <w:rPr>
          <w:b/>
          <w:bCs/>
        </w:rPr>
      </w:pPr>
      <w:r>
        <w:rPr>
          <w:rFonts w:eastAsia="MS PGothic" w:hAnsi="Arial"/>
          <w:color w:val="000000"/>
        </w:rPr>
        <w:br/>
      </w:r>
      <w:r>
        <w:rPr>
          <w:b/>
          <w:sz w:val="28"/>
          <w:szCs w:val="28"/>
        </w:rPr>
        <w:t xml:space="preserve">                                            </w:t>
      </w:r>
    </w:p>
    <w:p w:rsidR="004B54DE" w:rsidRPr="002A0DC8" w:rsidRDefault="004B54DE" w:rsidP="004B54DE">
      <w:pPr>
        <w:jc w:val="both"/>
        <w:rPr>
          <w:b/>
          <w:bCs/>
        </w:rPr>
      </w:pPr>
      <w:r w:rsidRPr="004B54DE">
        <w:rPr>
          <w:b/>
          <w:bCs/>
        </w:rPr>
        <w:t>Y. M. M. Moustafa</w:t>
      </w:r>
      <w:r>
        <w:rPr>
          <w:b/>
          <w:bCs/>
          <w:vertAlign w:val="superscript"/>
        </w:rPr>
        <w:t xml:space="preserve"> </w:t>
      </w:r>
      <w:r>
        <w:rPr>
          <w:b/>
          <w:bCs/>
        </w:rPr>
        <w:t xml:space="preserve">, </w:t>
      </w:r>
      <w:r w:rsidRPr="004B54DE">
        <w:t>Z. I. Abdeen</w:t>
      </w:r>
      <w:r w:rsidRPr="002A0DC8">
        <w:rPr>
          <w:b/>
          <w:bCs/>
        </w:rPr>
        <w:t xml:space="preserve"> </w:t>
      </w:r>
    </w:p>
    <w:p w:rsidR="00AC3BCD" w:rsidRDefault="00AC3BCD" w:rsidP="004B54DE">
      <w:pPr>
        <w:rPr>
          <w:rFonts w:eastAsia="MS PGothic" w:hAnsi="Arial"/>
          <w:color w:val="000000"/>
        </w:rPr>
      </w:pPr>
    </w:p>
    <w:p w:rsidR="00AC3BCD" w:rsidRDefault="00AC3BCD" w:rsidP="004B54DE">
      <w:pPr>
        <w:rPr>
          <w:rFonts w:eastAsia="MS PGothic" w:hAnsi="Arial"/>
          <w:color w:val="000000"/>
        </w:rPr>
      </w:pPr>
      <w:r>
        <w:rPr>
          <w:b/>
          <w:sz w:val="28"/>
          <w:szCs w:val="28"/>
        </w:rPr>
        <w:t xml:space="preserve">                    </w:t>
      </w:r>
      <w:r w:rsidR="004B54DE" w:rsidRPr="00A57A03">
        <w:rPr>
          <w:i/>
          <w:iCs/>
          <w:lang w:val="es-ES_tradnl"/>
        </w:rPr>
        <w:t>Egyptian Petroleum Research Institute, Cairo, Egypt.</w:t>
      </w:r>
    </w:p>
    <w:p w:rsidR="00AC3BCD" w:rsidRDefault="00AC3BCD" w:rsidP="00AC3BCD">
      <w:pPr>
        <w:jc w:val="center"/>
        <w:rPr>
          <w:rFonts w:eastAsia="Batang"/>
          <w:color w:val="0000FF"/>
          <w:sz w:val="36"/>
          <w:szCs w:val="36"/>
        </w:rPr>
      </w:pPr>
    </w:p>
    <w:p w:rsidR="00AC3BCD" w:rsidRPr="00F97B81" w:rsidRDefault="004B54DE" w:rsidP="00AC3BCD">
      <w:pPr>
        <w:jc w:val="both"/>
        <w:rPr>
          <w:color w:val="000000"/>
        </w:rPr>
      </w:pPr>
      <w:r w:rsidRPr="00F97B81">
        <w:t>Crude oil is adsorbed from wastewater on the crosslinked poly (vinyl alcohol) hydrogel (HPVA) and its foam (HPVAF). The macroporous HPVAF was prepared by adding CaCO</w:t>
      </w:r>
      <w:r w:rsidRPr="00F97B81">
        <w:rPr>
          <w:vertAlign w:val="subscript"/>
        </w:rPr>
        <w:t>3</w:t>
      </w:r>
      <w:r w:rsidRPr="00F97B81">
        <w:t xml:space="preserve"> and </w:t>
      </w:r>
      <w:hyperlink r:id="rId9" w:history="1">
        <w:r w:rsidRPr="00F97B81">
          <w:rPr>
            <w:rStyle w:val="Hyperlink"/>
            <w:color w:val="auto"/>
            <w:u w:val="none"/>
          </w:rPr>
          <w:t>epichlorohydrin</w:t>
        </w:r>
      </w:hyperlink>
      <w:r w:rsidRPr="00F97B81">
        <w:t xml:space="preserve"> as pore-forming agent and crosslinker, respectively. The prepared hydrogels were characterization and their ability to adsorb and immobilize of the crude oil was assessed by gravimetric method at the optimum condition. The HPVAF carrier demonstrated the improvement in the hydrocarbons trapping than these of the HPVA one. Scanning electron microscopy showed the presence of extracellular structures that could play an important role in the immobilization stability of crude oils on polymers.  As well, the percentage removal ability of the crude oil by HPVAF was approximately, 82%. The results suggest that the potential of using each of HPVA and HPVAF films as trapping for crud oil to enhancing the treatment of oily wastewater with a low cost in an open marine environment.</w:t>
      </w:r>
    </w:p>
    <w:p w:rsidR="00AC3BCD" w:rsidRDefault="00AC3BCD" w:rsidP="00AC3BCD">
      <w:pPr>
        <w:jc w:val="both"/>
        <w:rPr>
          <w:b/>
        </w:rPr>
      </w:pPr>
      <w:r>
        <w:rPr>
          <w:b/>
        </w:rPr>
        <w:t>Biography</w:t>
      </w:r>
    </w:p>
    <w:p w:rsidR="00AC3BCD" w:rsidRDefault="00AC3BCD" w:rsidP="00AC3BCD">
      <w:pPr>
        <w:jc w:val="both"/>
        <w:rPr>
          <w:b/>
        </w:rPr>
      </w:pPr>
    </w:p>
    <w:p w:rsidR="00F97B81" w:rsidRPr="00F97B81" w:rsidRDefault="004B54DE" w:rsidP="00F97B81">
      <w:pPr>
        <w:autoSpaceDE w:val="0"/>
        <w:autoSpaceDN w:val="0"/>
        <w:adjustRightInd w:val="0"/>
        <w:jc w:val="both"/>
      </w:pPr>
      <w:r w:rsidRPr="00F97B81">
        <w:rPr>
          <w:b/>
          <w:bCs/>
        </w:rPr>
        <w:t>Prof. Dr. Yasser Mohamed Mahmoud Moustafa</w:t>
      </w:r>
      <w:r w:rsidR="00AC3BCD" w:rsidRPr="00F97B81">
        <w:t xml:space="preserve"> has completed his PhD at the age of </w:t>
      </w:r>
      <w:r w:rsidRPr="00F97B81">
        <w:t>30</w:t>
      </w:r>
      <w:r w:rsidR="00AC3BCD" w:rsidRPr="00F97B81">
        <w:t xml:space="preserve"> years </w:t>
      </w:r>
      <w:r w:rsidRPr="00F97B81">
        <w:t xml:space="preserve">Ain Shams University, Egypt </w:t>
      </w:r>
      <w:r w:rsidR="00AC3BCD" w:rsidRPr="00F97B81">
        <w:t xml:space="preserve">and postdoctoral studies from </w:t>
      </w:r>
      <w:r w:rsidRPr="00F97B81">
        <w:t xml:space="preserve">Department of Analysis &amp; Evaluation, Egyptian Petroleum Research Institute. </w:t>
      </w:r>
      <w:r w:rsidR="00AC3BCD" w:rsidRPr="00F97B81">
        <w:t xml:space="preserve">He is the director of </w:t>
      </w:r>
      <w:r w:rsidR="00F97B81" w:rsidRPr="00F97B81">
        <w:t>Egyptian Petroleum Research Institute</w:t>
      </w:r>
      <w:r w:rsidR="00AC3BCD" w:rsidRPr="00F97B81">
        <w:t xml:space="preserve">. He has published more than </w:t>
      </w:r>
      <w:r w:rsidR="00F97B81" w:rsidRPr="00F97B81">
        <w:t>70</w:t>
      </w:r>
      <w:r w:rsidR="00AC3BCD" w:rsidRPr="00F97B81">
        <w:t xml:space="preserve"> papers in reputed journals and has been serving as an e</w:t>
      </w:r>
      <w:r w:rsidR="00F97B81" w:rsidRPr="00F97B81">
        <w:t xml:space="preserve">ditorial board member of repute  </w:t>
      </w:r>
      <w:r w:rsidR="00DA2249" w:rsidRPr="00F97B81">
        <w:tab/>
      </w:r>
      <w:r w:rsidR="00F97B81" w:rsidRPr="00F97B81">
        <w:t xml:space="preserve">and as Organizing Scientific Committee, Conference General Secretary, Chairperson for Plenary Session, Conference Coordinator for International Conference on “Petroleum &amp; Mineral Resources and Development.  Also, he acts as </w:t>
      </w:r>
      <w:r w:rsidR="00F97B81" w:rsidRPr="00F97B81">
        <w:rPr>
          <w:color w:val="000000"/>
        </w:rPr>
        <w:t>Editor- in-chief</w:t>
      </w:r>
      <w:r w:rsidR="00F97B81" w:rsidRPr="00F97B81">
        <w:t xml:space="preserve"> of Egyptian Journal of Petroleum.</w:t>
      </w:r>
    </w:p>
    <w:p w:rsidR="00AC3BCD" w:rsidRPr="00A41107" w:rsidRDefault="00085B88" w:rsidP="00F97B81">
      <w:pPr>
        <w:jc w:val="both"/>
        <w:rPr>
          <w:rFonts w:eastAsia="MS PGothic"/>
          <w:b/>
          <w:color w:val="000000"/>
          <w:szCs w:val="32"/>
        </w:rPr>
      </w:pPr>
      <w:r>
        <w:br/>
      </w:r>
    </w:p>
    <w:p w:rsidR="00A41107" w:rsidRPr="00F97B81" w:rsidRDefault="00072E30" w:rsidP="00F97B81">
      <w:pPr>
        <w:autoSpaceDE w:val="0"/>
        <w:autoSpaceDN w:val="0"/>
        <w:adjustRightInd w:val="0"/>
        <w:rPr>
          <w:highlight w:val="yellow"/>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97B81" w:rsidRPr="00F97B81">
        <w:rPr>
          <w:lang w:val="en-NZ"/>
        </w:rPr>
        <w:t xml:space="preserve">Yasser </w:t>
      </w:r>
      <w:r w:rsidR="00F97B81" w:rsidRPr="00F97B81">
        <w:t>Mohamed Mahmoud Moustafa</w:t>
      </w:r>
      <w:r w:rsidRPr="008A690F">
        <w:rPr>
          <w:lang w:val="en-NZ"/>
        </w:rPr>
        <w:br/>
        <w:t>Contact number:</w:t>
      </w:r>
      <w:r w:rsidR="00F97B81" w:rsidRPr="00F97B81">
        <w:t xml:space="preserve"> </w:t>
      </w:r>
      <w:r w:rsidR="00F97B81" w:rsidRPr="00F97B81">
        <w:rPr>
          <w:lang w:val="en-NZ"/>
        </w:rPr>
        <w:t>+201223631912</w:t>
      </w:r>
      <w:r w:rsidRPr="008A690F">
        <w:rPr>
          <w:lang w:val="en-NZ"/>
        </w:rPr>
        <w:br/>
      </w:r>
      <w:r w:rsidRPr="00F97B81">
        <w:rPr>
          <w:highlight w:val="yellow"/>
          <w:lang w:val="en-NZ"/>
        </w:rPr>
        <w:t>Twitter account:</w:t>
      </w:r>
      <w:r w:rsidRPr="00F97B81">
        <w:rPr>
          <w:highlight w:val="yellow"/>
          <w:lang w:val="en-NZ"/>
        </w:rPr>
        <w:br/>
        <w:t>Linked In account:</w:t>
      </w:r>
    </w:p>
    <w:p w:rsidR="00AC3BCD" w:rsidRDefault="00AC3BCD" w:rsidP="00F97B81">
      <w:pPr>
        <w:autoSpaceDE w:val="0"/>
        <w:autoSpaceDN w:val="0"/>
        <w:adjustRightInd w:val="0"/>
        <w:rPr>
          <w:lang w:val="en-NZ"/>
        </w:rPr>
      </w:pPr>
      <w:r w:rsidRPr="00F97B81">
        <w:rPr>
          <w:highlight w:val="yellow"/>
          <w:lang w:val="en-NZ"/>
        </w:rPr>
        <w:t>Session</w:t>
      </w:r>
      <w:r w:rsidR="00DA581F" w:rsidRPr="00F97B81">
        <w:rPr>
          <w:highlight w:val="yellow"/>
          <w:lang w:val="en-NZ"/>
        </w:rPr>
        <w:t xml:space="preserve"> </w:t>
      </w:r>
      <w:r w:rsidR="00085B88" w:rsidRPr="00F97B81">
        <w:rPr>
          <w:highlight w:val="yellow"/>
          <w:lang w:val="en-NZ"/>
        </w:rPr>
        <w:t>n</w:t>
      </w:r>
      <w:r w:rsidRPr="00F97B81">
        <w:rPr>
          <w:highlight w:val="yellow"/>
          <w:lang w:val="en-NZ"/>
        </w:rPr>
        <w:t>ame</w:t>
      </w:r>
      <w:r w:rsidR="00DA581F" w:rsidRPr="00F97B81">
        <w:rPr>
          <w:highlight w:val="yellow"/>
          <w:lang w:val="en-NZ"/>
        </w:rPr>
        <w:t>/ number</w:t>
      </w:r>
      <w:r w:rsidRPr="008A690F">
        <w:rPr>
          <w:lang w:val="en-NZ"/>
        </w:rPr>
        <w:t>:</w:t>
      </w:r>
      <w:r w:rsidR="001669FE">
        <w:rPr>
          <w:lang w:val="en-NZ"/>
        </w:rPr>
        <w:t>biopolymers</w:t>
      </w:r>
      <w:r w:rsidRPr="008A690F">
        <w:rPr>
          <w:lang w:val="en-NZ"/>
        </w:rPr>
        <w:br/>
        <w:t xml:space="preserve">Category: </w:t>
      </w:r>
      <w:r w:rsidR="00F97B81">
        <w:rPr>
          <w:lang w:val="en-NZ"/>
        </w:rPr>
        <w:t xml:space="preserve">                           </w:t>
      </w:r>
      <w:r w:rsidRPr="00F97B81">
        <w:rPr>
          <w:b/>
          <w:bCs/>
          <w:lang w:val="en-NZ"/>
        </w:rPr>
        <w:t>Oral presentation</w:t>
      </w:r>
      <w:r w:rsidR="00DA581F">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7A3" w:rsidRDefault="002847A3" w:rsidP="00671A59">
      <w:r>
        <w:separator/>
      </w:r>
    </w:p>
  </w:endnote>
  <w:endnote w:type="continuationSeparator" w:id="1">
    <w:p w:rsidR="002847A3" w:rsidRDefault="002847A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Gautami">
    <w:panose1 w:val="02000500000000000000"/>
    <w:charset w:val="01"/>
    <w:family w:val="auto"/>
    <w:pitch w:val="variable"/>
    <w:sig w:usb0="002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swiss"/>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7A3" w:rsidRDefault="002847A3" w:rsidP="00671A59">
      <w:r>
        <w:separator/>
      </w:r>
    </w:p>
  </w:footnote>
  <w:footnote w:type="continuationSeparator" w:id="1">
    <w:p w:rsidR="002847A3" w:rsidRDefault="002847A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stylePaneFormatFilter w:val="3F01"/>
  <w:defaultTabStop w:val="708"/>
  <w:hyphenationZone w:val="283"/>
  <w:evenAndOddHeaders/>
  <w:drawingGridHorizontalSpacing w:val="120"/>
  <w:displayHorizontalDrawingGridEvery w:val="2"/>
  <w:characterSpacingControl w:val="doNotCompress"/>
  <w:hdrShapeDefaults>
    <o:shapedefaults v:ext="edit" spidmax="9218"/>
  </w:hdrShapeDefaults>
  <w:footnotePr>
    <w:footnote w:id="0"/>
    <w:footnote w:id="1"/>
  </w:footnotePr>
  <w:endnotePr>
    <w:endnote w:id="0"/>
    <w:endnote w:id="1"/>
  </w:endnotePr>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669FE"/>
    <w:rsid w:val="001A411C"/>
    <w:rsid w:val="001B1336"/>
    <w:rsid w:val="001B6DE6"/>
    <w:rsid w:val="001F414A"/>
    <w:rsid w:val="00205354"/>
    <w:rsid w:val="00241E71"/>
    <w:rsid w:val="002659F1"/>
    <w:rsid w:val="00270EC9"/>
    <w:rsid w:val="002847A3"/>
    <w:rsid w:val="00292DC0"/>
    <w:rsid w:val="002B18D5"/>
    <w:rsid w:val="002C0F2B"/>
    <w:rsid w:val="003753DD"/>
    <w:rsid w:val="003A4429"/>
    <w:rsid w:val="004775E3"/>
    <w:rsid w:val="0049217F"/>
    <w:rsid w:val="004A262E"/>
    <w:rsid w:val="004A2CA1"/>
    <w:rsid w:val="004B3B30"/>
    <w:rsid w:val="004B54DE"/>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3593D"/>
    <w:rsid w:val="00862283"/>
    <w:rsid w:val="008A3E9A"/>
    <w:rsid w:val="008A690F"/>
    <w:rsid w:val="00901E5B"/>
    <w:rsid w:val="00967413"/>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53E92"/>
    <w:rsid w:val="00C81C4A"/>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97B81"/>
    <w:rsid w:val="00FA5CBE"/>
    <w:rsid w:val="00FB641C"/>
    <w:rsid w:val="00FC1073"/>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C4A"/>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2">
    <w:name w:val="heading 2"/>
    <w:basedOn w:val="Normal"/>
    <w:next w:val="Normal"/>
    <w:link w:val="Heading2Char"/>
    <w:uiPriority w:val="9"/>
    <w:semiHidden/>
    <w:unhideWhenUsed/>
    <w:qFormat/>
    <w:rsid w:val="004B54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sid w:val="00C81C4A"/>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sid w:val="00C81C4A"/>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sid w:val="00C81C4A"/>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sid w:val="00C81C4A"/>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sid w:val="00C81C4A"/>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sid w:val="00C81C4A"/>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sid w:val="00C81C4A"/>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basedOn w:val="DefaultParagraphFont"/>
    <w:link w:val="Heading2"/>
    <w:uiPriority w:val="9"/>
    <w:semiHidden/>
    <w:rsid w:val="004B54DE"/>
    <w:rPr>
      <w:rFonts w:asciiTheme="majorHAnsi" w:eastAsiaTheme="majorEastAsia" w:hAnsiTheme="majorHAnsi" w:cstheme="majorBidi"/>
      <w:b/>
      <w:bCs/>
      <w:color w:val="4F81BD" w:themeColor="accent1"/>
      <w:sz w:val="26"/>
      <w:szCs w:val="26"/>
      <w:lang w:val="it-IT" w:eastAsia="it-IT"/>
    </w:rPr>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ogle.com.eg/search?q=epichlorohydrin&amp;biw=1024&amp;bih=584&amp;tbm=isch&amp;tbo=u&amp;source=univ&amp;sa=X&amp;ei=DHSyU-33AcWTqAbrpoCgAQ&amp;ved=0CDYQ7A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712583-67D4-46C3-BAD6-BAF8FA4D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358</Words>
  <Characters>2044</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2020-03-01T21:54:00Z</dcterms:created>
  <dcterms:modified xsi:type="dcterms:W3CDTF">2020-03-02T21:24:00Z</dcterms:modified>
</cp:coreProperties>
</file>