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keepNext w:val="0"/>
        <w:widowControl w:val="0"/>
        <w:spacing w:before="170" w:line="400" w:lineRule="exact"/>
        <w:rPr>
          <w:rFonts w:ascii="Cambria Math" w:cs="Cambria Math" w:hAnsi="Cambria Math" w:eastAsia="Cambria Math"/>
          <w:b w:val="0"/>
          <w:bCs w:val="0"/>
          <w:color w:val="0075b9"/>
          <w:sz w:val="18"/>
          <w:szCs w:val="18"/>
          <w:u w:color="000000"/>
        </w:rPr>
      </w:pPr>
      <w:r>
        <w:rPr>
          <w:rFonts w:ascii="Cambria Math" w:hAnsi="Cambria Math"/>
          <w:b w:val="0"/>
          <w:bCs w:val="0"/>
          <w:color w:val="0075b9"/>
          <w:u w:color="000000"/>
          <w:rtl w:val="0"/>
          <w:lang w:val="en-US"/>
        </w:rPr>
        <w:t xml:space="preserve">Determination of Pyruvate Decarboxylase Activity from </w:t>
      </w:r>
      <w:r>
        <w:rPr>
          <w:rFonts w:ascii="Cambria Math" w:hAnsi="Cambria Math"/>
          <w:b w:val="0"/>
          <w:bCs w:val="0"/>
          <w:color w:val="0075b9"/>
          <w:u w:color="000000"/>
          <w:rtl w:val="0"/>
          <w:lang w:val="en-US"/>
        </w:rPr>
        <w:t>Sulfolobus</w:t>
      </w:r>
      <w:r>
        <w:rPr>
          <w:rFonts w:ascii="Cambria Math" w:hAnsi="Cambria Math"/>
          <w:b w:val="0"/>
          <w:bCs w:val="0"/>
          <w:color w:val="0075b9"/>
          <w:u w:color="000000"/>
          <w:rtl w:val="0"/>
          <w:lang w:val="es-ES_tradnl"/>
        </w:rPr>
        <w:t xml:space="preserve"> </w:t>
      </w:r>
      <w:r>
        <w:rPr>
          <w:rFonts w:ascii="Cambria Math" w:hAnsi="Cambria Math"/>
          <w:b w:val="0"/>
          <w:bCs w:val="0"/>
          <w:color w:val="0075b9"/>
          <w:u w:color="000000"/>
          <w:rtl w:val="0"/>
          <w:lang w:val="it-IT"/>
        </w:rPr>
        <w:t>solfataricus</w:t>
      </w:r>
    </w:p>
    <w:p>
      <w:pPr>
        <w:pStyle w:val="Heading"/>
        <w:keepNext w:val="0"/>
        <w:widowControl w:val="0"/>
        <w:spacing w:before="170"/>
        <w:rPr>
          <w:rFonts w:ascii="Cambria Math" w:cs="Cambria Math" w:hAnsi="Cambria Math" w:eastAsia="Cambria Math"/>
          <w:b w:val="0"/>
          <w:bCs w:val="0"/>
          <w:color w:val="0075b9"/>
          <w:sz w:val="18"/>
          <w:szCs w:val="18"/>
          <w:u w:color="000000"/>
        </w:rPr>
      </w:pPr>
    </w:p>
    <w:p>
      <w:pPr>
        <w:pStyle w:val="Default"/>
        <w:spacing w:line="288" w:lineRule="auto"/>
        <w:rPr>
          <w:rFonts w:ascii="Arial" w:cs="Arial" w:hAnsi="Arial" w:eastAsia="Arial"/>
          <w:sz w:val="18"/>
          <w:szCs w:val="18"/>
          <w:u w:color="000000"/>
        </w:rPr>
      </w:pPr>
      <w:r>
        <w:rPr>
          <w:rFonts w:ascii="Arial" w:hAnsi="Arial"/>
          <w:sz w:val="18"/>
          <w:szCs w:val="18"/>
          <w:u w:color="000000"/>
          <w:rtl w:val="0"/>
          <w:lang w:val="pt-PT"/>
        </w:rPr>
        <w:t>Faisal Alharbi</w:t>
      </w:r>
      <w:r>
        <w:rPr>
          <w:rFonts w:ascii="Arial" w:hAnsi="Arial"/>
          <w:sz w:val="18"/>
          <w:szCs w:val="18"/>
          <w:u w:color="000000"/>
          <w:rtl w:val="0"/>
          <w:lang w:val="en-US"/>
        </w:rPr>
        <w:t>, BSc, University of Waterloo, Canada</w:t>
      </w:r>
    </w:p>
    <w:p>
      <w:pPr>
        <w:pStyle w:val="Default"/>
        <w:spacing w:line="288" w:lineRule="auto"/>
        <w:rPr>
          <w:rFonts w:ascii="Arial" w:cs="Arial" w:hAnsi="Arial" w:eastAsia="Arial"/>
          <w:sz w:val="18"/>
          <w:szCs w:val="18"/>
          <w:u w:color="000000"/>
          <w:lang w:val="en-US"/>
        </w:rPr>
      </w:pPr>
      <w:r>
        <w:rPr>
          <w:rFonts w:ascii="Arial" w:hAnsi="Arial"/>
          <w:sz w:val="18"/>
          <w:szCs w:val="18"/>
          <w:u w:color="000000"/>
          <w:rtl w:val="0"/>
          <w:lang w:val="en-US"/>
        </w:rPr>
        <w:t>Edicon Tze Shun Chan, BSc, University of Waterloo, Canada</w:t>
      </w:r>
    </w:p>
    <w:p>
      <w:pPr>
        <w:pStyle w:val="Default"/>
        <w:spacing w:line="288" w:lineRule="auto"/>
        <w:rPr>
          <w:rFonts w:ascii="Arial" w:cs="Arial" w:hAnsi="Arial" w:eastAsia="Arial"/>
          <w:sz w:val="18"/>
          <w:szCs w:val="18"/>
          <w:u w:color="000000"/>
          <w:lang w:val="en-US"/>
        </w:rPr>
      </w:pPr>
      <w:r>
        <w:rPr>
          <w:rFonts w:ascii="Arial" w:hAnsi="Arial"/>
          <w:sz w:val="18"/>
          <w:szCs w:val="18"/>
          <w:u w:color="000000"/>
          <w:rtl w:val="0"/>
          <w:lang w:val="en-US"/>
        </w:rPr>
        <w:t>Kesen Ma, PhD, University of Waterloo, Canada</w:t>
      </w:r>
    </w:p>
    <w:p>
      <w:pPr>
        <w:pStyle w:val="Default"/>
        <w:spacing w:line="288" w:lineRule="auto"/>
        <w:rPr>
          <w:rFonts w:ascii="Arial" w:cs="Arial" w:hAnsi="Arial" w:eastAsia="Arial"/>
          <w:sz w:val="18"/>
          <w:szCs w:val="18"/>
          <w:u w:color="000000"/>
        </w:rPr>
      </w:pPr>
      <w:r>
        <w:rPr>
          <w:rFonts w:ascii="Arial" w:hAnsi="Arial"/>
          <w:sz w:val="18"/>
          <w:szCs w:val="18"/>
          <w:u w:color="000000"/>
          <w:rtl w:val="0"/>
          <w:lang w:val="en-US"/>
        </w:rPr>
        <w:t xml:space="preserve">Thomas Knura, MSc, </w:t>
      </w:r>
      <w:r>
        <w:rPr>
          <w:rFonts w:ascii="Arial" w:hAnsi="Arial"/>
          <w:color w:val="000000"/>
          <w:sz w:val="18"/>
          <w:szCs w:val="18"/>
          <w:u w:color="000000"/>
          <w:rtl w:val="0"/>
          <w:lang w:val="pt-PT"/>
        </w:rPr>
        <w:t>University of Duisburg-Essen, Germany</w:t>
      </w:r>
    </w:p>
    <w:p>
      <w:pPr>
        <w:pStyle w:val="Default"/>
        <w:spacing w:line="288" w:lineRule="auto"/>
        <w:rPr>
          <w:rFonts w:ascii="Arial" w:cs="Arial" w:hAnsi="Arial" w:eastAsia="Arial"/>
          <w:color w:val="000000"/>
          <w:sz w:val="18"/>
          <w:szCs w:val="18"/>
          <w:u w:color="000000"/>
        </w:rPr>
      </w:pPr>
      <w:r>
        <w:rPr>
          <w:rFonts w:ascii="Arial" w:hAnsi="Arial"/>
          <w:color w:val="000000"/>
          <w:sz w:val="18"/>
          <w:szCs w:val="18"/>
          <w:u w:color="000000"/>
          <w:rtl w:val="0"/>
          <w:lang w:val="pt-PT"/>
        </w:rPr>
        <w:t>Bettina Siebers, PhD, University of Duisburg-Essen, Germany</w:t>
      </w:r>
    </w:p>
    <w:p>
      <w:pPr>
        <w:pStyle w:val="Default"/>
        <w:widowControl w:val="0"/>
        <w:rPr>
          <w:rFonts w:ascii="Arial" w:cs="Arial" w:hAnsi="Arial" w:eastAsia="Arial"/>
          <w:sz w:val="20"/>
          <w:szCs w:val="20"/>
          <w:u w:color="000000"/>
          <w:lang w:val="en-US"/>
        </w:rPr>
      </w:pPr>
    </w:p>
    <w:p>
      <w:pPr>
        <w:pStyle w:val="Default"/>
        <w:widowControl w:val="0"/>
        <w:spacing w:before="3"/>
        <w:rPr>
          <w:rFonts w:ascii="Arial" w:cs="Arial" w:hAnsi="Arial" w:eastAsia="Arial"/>
          <w:sz w:val="21"/>
          <w:szCs w:val="21"/>
          <w:u w:color="000000"/>
          <w:lang w:val="en-US"/>
        </w:rPr>
      </w:pPr>
    </w:p>
    <w:p>
      <w:pPr>
        <w:pStyle w:val="Body A"/>
        <w:widowControl w:val="0"/>
        <w:sectPr>
          <w:headerReference w:type="default" r:id="rId4"/>
          <w:footerReference w:type="default" r:id="rId5"/>
          <w:pgSz w:w="12240" w:h="15840" w:orient="portrait"/>
          <w:pgMar w:top="1440" w:right="1440" w:bottom="1440" w:left="1440" w:header="720" w:footer="864"/>
          <w:bidi w:val="0"/>
        </w:sectPr>
      </w:pP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spacing w:before="147" w:after="0" w:line="240" w:lineRule="auto"/>
        <w:ind w:left="100" w:firstLine="0"/>
        <w:jc w:val="both"/>
        <w:rPr>
          <w:rFonts w:ascii="Arial" w:cs="Arial" w:hAnsi="Arial" w:eastAsia="Arial"/>
          <w:b w:val="1"/>
          <w:bCs w:val="1"/>
          <w:spacing w:val="0"/>
          <w:sz w:val="20"/>
          <w:szCs w:val="20"/>
          <w:u w:color="000000"/>
        </w:rPr>
      </w:pPr>
      <w:r>
        <w:rPr>
          <w:rFonts w:ascii="Arial" w:hAnsi="Arial"/>
          <w:b w:val="1"/>
          <w:bCs w:val="1"/>
          <w:color w:val="bf5a14"/>
          <w:spacing w:val="0"/>
          <w:sz w:val="20"/>
          <w:szCs w:val="20"/>
          <w:u w:color="bf5a14"/>
          <w:rtl w:val="0"/>
          <w:lang w:val="de-DE"/>
        </w:rPr>
        <w:t>Abstract</w:t>
      </w:r>
    </w:p>
    <w:p>
      <w:pPr>
        <w:pStyle w:val="Default"/>
        <w:spacing w:line="288" w:lineRule="auto"/>
        <w:jc w:val="both"/>
        <w:rPr>
          <w:rFonts w:ascii="Tw Cen MT" w:cs="Tw Cen MT" w:hAnsi="Tw Cen MT" w:eastAsia="Tw Cen MT"/>
          <w:sz w:val="18"/>
          <w:szCs w:val="18"/>
          <w:u w:color="000000"/>
          <w:lang w:val="en-US"/>
        </w:rPr>
      </w:pPr>
    </w:p>
    <w:p>
      <w:pPr>
        <w:pStyle w:val="Default"/>
        <w:spacing w:line="288" w:lineRule="auto"/>
        <w:jc w:val="both"/>
        <w:rPr>
          <w:rFonts w:ascii="Tw Cen MT" w:cs="Tw Cen MT" w:hAnsi="Tw Cen MT" w:eastAsia="Tw Cen MT"/>
          <w:sz w:val="18"/>
          <w:szCs w:val="18"/>
          <w:u w:color="000000"/>
        </w:rPr>
      </w:pP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Pyruvate decarboxylase (PDC) is a key enzyme in a two-enzyme pathway for the production of ethanol (1).  It catalyzes the non-oxidative decarboxylation of pyruvate to acetaldehyde that is reduced to ethanol. No commonly-known PDC has been found in hyperthermophiles, a group of microorganisms growing optimally at 80</w:t>
      </w:r>
      <w:r>
        <w:rPr>
          <w:rFonts w:ascii="Tw Cen MT" w:hAnsi="Tw Cen MT" w:hint="default"/>
          <w:sz w:val="18"/>
          <w:szCs w:val="18"/>
          <w:u w:color="000000"/>
          <w:rtl w:val="0"/>
          <w:lang w:val="en-US"/>
        </w:rPr>
        <w:t>°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C and above. Although bifunctional PDCs with a pyruvate ferredoxin oxidoreductase (POR) activity have been purified and characterized from several hyperthermophilic bacteria and archaea (2,3,4), they are oxygen-sensitive and CoA-dependent, which are typical features of PORs. It is known that PORs from hyperthermophilic crenarchaeon such as </w:t>
      </w:r>
      <w:r>
        <w:rPr>
          <w:rFonts w:ascii="Tw Cen MT" w:hAnsi="Tw Cen MT"/>
          <w:i w:val="1"/>
          <w:iCs w:val="1"/>
          <w:sz w:val="18"/>
          <w:szCs w:val="18"/>
          <w:u w:color="000000"/>
          <w:rtl w:val="0"/>
          <w:lang w:val="en-US"/>
        </w:rPr>
        <w:t xml:space="preserve">Sulfolobus solfataricus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and</w:t>
      </w:r>
      <w:r>
        <w:rPr>
          <w:rFonts w:ascii="Tw Cen MT" w:hAnsi="Tw Cen MT" w:hint="default"/>
          <w:sz w:val="18"/>
          <w:szCs w:val="18"/>
          <w:u w:color="000000"/>
          <w:rtl w:val="0"/>
          <w:lang w:val="en-US"/>
        </w:rPr>
        <w:t xml:space="preserve">  </w:t>
      </w:r>
      <w:r>
        <w:rPr>
          <w:rFonts w:ascii="Tw Cen MT" w:hAnsi="Tw Cen MT"/>
          <w:i w:val="1"/>
          <w:iCs w:val="1"/>
          <w:sz w:val="18"/>
          <w:szCs w:val="18"/>
          <w:u w:color="000000"/>
          <w:rtl w:val="0"/>
          <w:lang w:val="it-IT"/>
        </w:rPr>
        <w:t>Sulfolobus acidocaldarius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(T</w:t>
      </w:r>
      <w:r>
        <w:rPr>
          <w:rFonts w:ascii="Tw Cen MT" w:hAnsi="Tw Cen MT"/>
          <w:sz w:val="18"/>
          <w:szCs w:val="18"/>
          <w:u w:color="000000"/>
          <w:vertAlign w:val="subscript"/>
          <w:rtl w:val="0"/>
          <w:lang w:val="en-US"/>
        </w:rPr>
        <w:t>opt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= 80</w:t>
      </w:r>
      <w:r>
        <w:rPr>
          <w:rFonts w:ascii="Tw Cen MT" w:hAnsi="Tw Cen MT" w:hint="default"/>
          <w:sz w:val="18"/>
          <w:szCs w:val="18"/>
          <w:u w:color="000000"/>
          <w:rtl w:val="0"/>
          <w:lang w:val="it-IT"/>
        </w:rPr>
        <w:t>°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C) are not O</w:t>
      </w:r>
      <w:r>
        <w:rPr>
          <w:rFonts w:ascii="Tw Cen MT" w:hAnsi="Tw Cen MT"/>
          <w:sz w:val="18"/>
          <w:szCs w:val="18"/>
          <w:u w:color="000000"/>
          <w:vertAlign w:val="subscript"/>
          <w:rtl w:val="0"/>
          <w:lang w:val="en-US"/>
        </w:rPr>
        <w:t>2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-sensitive (4,5). However, it is not clear if their PORs would also have PDC activity. </w:t>
      </w:r>
      <w:r>
        <w:rPr>
          <w:rFonts w:ascii="Tw Cen MT" w:hAnsi="Tw Cen MT"/>
          <w:i w:val="1"/>
          <w:iCs w:val="1"/>
          <w:sz w:val="18"/>
          <w:szCs w:val="18"/>
          <w:u w:color="000000"/>
          <w:rtl w:val="0"/>
          <w:lang w:val="it-IT"/>
        </w:rPr>
        <w:t>S. solfataricus</w:t>
      </w:r>
      <w:r>
        <w:rPr>
          <w:rFonts w:ascii="Tw Cen MT" w:hAnsi="Tw Cen MT"/>
          <w:i w:val="1"/>
          <w:iCs w:val="1"/>
          <w:sz w:val="18"/>
          <w:szCs w:val="18"/>
          <w:u w:color="000000"/>
          <w:rtl w:val="0"/>
          <w:lang w:val="en-US"/>
        </w:rPr>
        <w:t xml:space="preserve">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was grown at 80</w:t>
      </w:r>
      <w:r>
        <w:rPr>
          <w:rFonts w:ascii="Tw Cen MT" w:hAnsi="Tw Cen MT" w:hint="default"/>
          <w:sz w:val="18"/>
          <w:szCs w:val="18"/>
          <w:u w:color="000000"/>
          <w:rtl w:val="0"/>
          <w:lang w:val="en-US"/>
        </w:rPr>
        <w:t>°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C, and its cell free extract (CFE) was prepared using a French Press. PDC activity was determined by measuring the rate of acetaldehyde formation from pyruvate using a high-performance liquid chromatography (HPLC). Its POR activity was measured by monitoring the pyruvate-dependent reduction of benzyl viologen at 578 nm. Its PDC activity was determined to be 2.5 mU/mg at optimal pH of 7 and temperature of 90</w:t>
      </w:r>
      <w:r>
        <w:rPr>
          <w:rFonts w:ascii="Tw Cen MT" w:hAnsi="Tw Cen MT"/>
          <w:sz w:val="18"/>
          <w:szCs w:val="18"/>
          <w:u w:color="000000"/>
          <w:vertAlign w:val="superscript"/>
          <w:rtl w:val="0"/>
          <w:lang w:val="en-US"/>
        </w:rPr>
        <w:t>o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C. Its POR activity was measured to be 1.57 U/mg under the same pH and temperature conditions. Both activities were not O</w:t>
      </w:r>
      <w:r>
        <w:rPr>
          <w:rFonts w:ascii="Tw Cen MT" w:hAnsi="Tw Cen MT"/>
          <w:sz w:val="18"/>
          <w:szCs w:val="18"/>
          <w:u w:color="000000"/>
          <w:vertAlign w:val="subscript"/>
          <w:rtl w:val="0"/>
          <w:lang w:val="en-US"/>
        </w:rPr>
        <w:t>2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-sensitive. In conclusion, it is the most thermostable and non-O</w:t>
      </w:r>
      <w:r>
        <w:rPr>
          <w:rFonts w:ascii="Tw Cen MT" w:hAnsi="Tw Cen MT"/>
          <w:sz w:val="18"/>
          <w:szCs w:val="18"/>
          <w:u w:color="000000"/>
          <w:vertAlign w:val="subscript"/>
          <w:rtl w:val="0"/>
          <w:lang w:val="en-US"/>
        </w:rPr>
        <w:t>2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-sensitive PDC determined. The PDC enzyme will be purified using a fast performance liquid chromatography system for further characterization. </w:t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spacing w:before="74" w:after="0" w:line="240" w:lineRule="auto"/>
        <w:ind w:left="100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pacing w:val="0"/>
          <w:sz w:val="20"/>
          <w:szCs w:val="20"/>
          <w:u w:color="000000"/>
        </w:rPr>
        <w:br w:type="column"/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spacing w:before="74" w:after="0" w:line="240" w:lineRule="auto"/>
        <w:ind w:left="100" w:firstLine="0"/>
      </w:pP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spacing w:before="74" w:after="0" w:line="240" w:lineRule="auto"/>
        <w:ind w:left="100" w:firstLine="0"/>
        <w:rPr>
          <w:rFonts w:ascii="Arial" w:cs="Arial" w:hAnsi="Arial" w:eastAsia="Arial"/>
          <w:b w:val="1"/>
          <w:bCs w:val="1"/>
          <w:color w:val="bf5a14"/>
          <w:spacing w:val="0"/>
          <w:sz w:val="20"/>
          <w:szCs w:val="20"/>
          <w:u w:color="bf5a14"/>
        </w:rPr>
      </w:pPr>
      <w:r>
        <w:rPr>
          <w:rFonts w:ascii="Arial" w:hAnsi="Arial"/>
          <w:b w:val="1"/>
          <w:bCs w:val="1"/>
          <w:color w:val="bf5a14"/>
          <w:spacing w:val="0"/>
          <w:sz w:val="20"/>
          <w:szCs w:val="20"/>
          <w:u w:color="bf5a14"/>
          <w:rtl w:val="0"/>
          <w:lang w:val="en-US"/>
        </w:rPr>
        <w:t>Recent Publications</w:t>
      </w:r>
    </w:p>
    <w:p>
      <w:pPr>
        <w:pStyle w:val="Body A"/>
      </w:pPr>
    </w:p>
    <w:p>
      <w:pPr>
        <w:pStyle w:val="Default"/>
        <w:widowControl w:val="0"/>
        <w:numPr>
          <w:ilvl w:val="0"/>
          <w:numId w:val="2"/>
        </w:numPr>
        <w:bidi w:val="0"/>
        <w:spacing w:before="90" w:line="216" w:lineRule="exact"/>
        <w:ind w:right="138"/>
        <w:jc w:val="both"/>
        <w:rPr>
          <w:rFonts w:ascii="Calibri Light" w:cs="Calibri Light" w:hAnsi="Calibri Light" w:eastAsia="Calibri Light"/>
          <w:sz w:val="18"/>
          <w:szCs w:val="18"/>
          <w:u w:color="000000"/>
          <w:rtl w:val="0"/>
          <w:lang w:val="en-US"/>
        </w:rPr>
      </w:pPr>
      <w:r>
        <w:rPr>
          <w:rFonts w:ascii="Calibri Light" w:hAnsi="Calibri Light"/>
          <w:sz w:val="18"/>
          <w:szCs w:val="18"/>
          <w:u w:color="000000"/>
          <w:rtl w:val="0"/>
          <w:lang w:val="en-US"/>
        </w:rPr>
        <w:t>Eram M S, Ma K. (2013). Decarboxylation of Pyruvate to Acetaldehyde for Ethanol Production by Hyperthermophiles.</w:t>
      </w:r>
      <w:r>
        <w:rPr>
          <w:rFonts w:ascii="Calibri" w:hAnsi="Calibri" w:hint="default"/>
          <w:i w:val="1"/>
          <w:iCs w:val="1"/>
          <w:sz w:val="18"/>
          <w:szCs w:val="18"/>
          <w:u w:color="000000"/>
          <w:rtl w:val="0"/>
          <w:lang w:val="en-US"/>
        </w:rPr>
        <w:t> </w:t>
      </w:r>
      <w:r>
        <w:rPr>
          <w:rFonts w:ascii="Calibri" w:hAnsi="Calibri"/>
          <w:i w:val="1"/>
          <w:iCs w:val="1"/>
          <w:sz w:val="18"/>
          <w:szCs w:val="18"/>
          <w:u w:color="000000"/>
          <w:rtl w:val="0"/>
          <w:lang w:val="en-US"/>
        </w:rPr>
        <w:t>Biomolecules,</w:t>
      </w:r>
      <w:r>
        <w:rPr>
          <w:rFonts w:ascii="Calibri" w:hAnsi="Calibri" w:hint="default"/>
          <w:i w:val="1"/>
          <w:iCs w:val="1"/>
          <w:sz w:val="18"/>
          <w:szCs w:val="18"/>
          <w:u w:color="000000"/>
          <w:rtl w:val="0"/>
          <w:lang w:val="en-US"/>
        </w:rPr>
        <w:t> </w:t>
      </w:r>
      <w:r>
        <w:rPr>
          <w:rFonts w:ascii="Calibri" w:hAnsi="Calibri"/>
          <w:i w:val="1"/>
          <w:iCs w:val="1"/>
          <w:sz w:val="18"/>
          <w:szCs w:val="18"/>
          <w:u w:color="000000"/>
          <w:rtl w:val="0"/>
          <w:lang w:val="en-US"/>
        </w:rPr>
        <w:t>3</w:t>
      </w:r>
      <w:r>
        <w:rPr>
          <w:rFonts w:ascii="Calibri Light" w:hAnsi="Calibri Light"/>
          <w:sz w:val="18"/>
          <w:szCs w:val="18"/>
          <w:u w:color="000000"/>
          <w:rtl w:val="0"/>
          <w:lang w:val="en-US"/>
        </w:rPr>
        <w:t xml:space="preserve">(3), 578-596. doi:10.3390/biom3030578 </w:t>
      </w:r>
    </w:p>
    <w:p>
      <w:pPr>
        <w:pStyle w:val="Default"/>
        <w:widowControl w:val="0"/>
        <w:numPr>
          <w:ilvl w:val="0"/>
          <w:numId w:val="2"/>
        </w:numPr>
        <w:bidi w:val="0"/>
        <w:spacing w:before="90" w:line="216" w:lineRule="exact"/>
        <w:ind w:right="138"/>
        <w:jc w:val="both"/>
        <w:rPr>
          <w:rStyle w:val="None"/>
          <w:rFonts w:ascii="Calibri Light" w:cs="Calibri Light" w:hAnsi="Calibri Light" w:eastAsia="Calibri Light"/>
          <w:sz w:val="18"/>
          <w:szCs w:val="18"/>
          <w:u w:color="000000"/>
          <w:rtl w:val="0"/>
          <w:lang w:val="en-US"/>
        </w:rPr>
      </w:pPr>
      <w:r>
        <w:rPr>
          <w:rFonts w:ascii="Calibri Light" w:hAnsi="Calibri Light"/>
          <w:sz w:val="18"/>
          <w:szCs w:val="18"/>
          <w:u w:color="000000"/>
          <w:rtl w:val="0"/>
          <w:lang w:val="en-US"/>
        </w:rPr>
        <w:t xml:space="preserve">Eram M S, Ma K. (2016). Pyruvate decarboxylase activity of the acetohydroxyacid synthase of </w:t>
      </w:r>
      <w:r>
        <w:rPr>
          <w:rFonts w:ascii="Calibri" w:hAnsi="Calibri"/>
          <w:i w:val="1"/>
          <w:iCs w:val="1"/>
          <w:sz w:val="18"/>
          <w:szCs w:val="18"/>
          <w:u w:color="000000"/>
          <w:rtl w:val="0"/>
          <w:lang w:val="en-US"/>
        </w:rPr>
        <w:t>Thermotoga maritima</w:t>
      </w:r>
      <w:r>
        <w:rPr>
          <w:rFonts w:ascii="Calibri Light" w:hAnsi="Calibri Light"/>
          <w:sz w:val="18"/>
          <w:szCs w:val="18"/>
          <w:u w:color="000000"/>
          <w:rtl w:val="0"/>
          <w:lang w:val="en-US"/>
        </w:rPr>
        <w:t>.</w:t>
      </w:r>
      <w:r>
        <w:rPr>
          <w:rFonts w:ascii="Calibri" w:hAnsi="Calibri" w:hint="default"/>
          <w:i w:val="1"/>
          <w:iCs w:val="1"/>
          <w:sz w:val="18"/>
          <w:szCs w:val="18"/>
          <w:u w:color="000000"/>
          <w:rtl w:val="0"/>
          <w:lang w:val="en-US"/>
        </w:rPr>
        <w:t> </w:t>
      </w:r>
      <w:r>
        <w:rPr>
          <w:rFonts w:ascii="Calibri Light" w:hAnsi="Calibri Light"/>
          <w:sz w:val="18"/>
          <w:szCs w:val="18"/>
          <w:u w:color="000000"/>
          <w:rtl w:val="0"/>
          <w:lang w:val="en-US"/>
        </w:rPr>
        <w:t>Biochemistry and Biophysics Reports,</w:t>
      </w:r>
      <w:r>
        <w:rPr>
          <w:rFonts w:ascii="Calibri" w:hAnsi="Calibri" w:hint="default"/>
          <w:i w:val="1"/>
          <w:iCs w:val="1"/>
          <w:sz w:val="18"/>
          <w:szCs w:val="18"/>
          <w:u w:color="000000"/>
          <w:rtl w:val="0"/>
          <w:lang w:val="en-US"/>
        </w:rPr>
        <w:t> </w:t>
      </w:r>
      <w:r>
        <w:rPr>
          <w:rFonts w:ascii="Calibri Light" w:hAnsi="Calibri Light"/>
          <w:sz w:val="18"/>
          <w:szCs w:val="18"/>
          <w:u w:color="000000"/>
          <w:rtl w:val="0"/>
          <w:lang w:val="en-US"/>
        </w:rPr>
        <w:t>doi:</w:t>
      </w:r>
      <w:r>
        <w:rPr>
          <w:rStyle w:val="Hyperlink.0"/>
          <w:rFonts w:ascii="Calibri Light" w:cs="Calibri Light" w:hAnsi="Calibri Light" w:eastAsia="Calibri Light"/>
          <w:color w:val="0000ff"/>
          <w:sz w:val="18"/>
          <w:szCs w:val="18"/>
          <w:u w:val="single" w:color="0000ff"/>
          <w:lang w:val="en-US"/>
        </w:rPr>
        <w:fldChar w:fldCharType="begin" w:fldLock="0"/>
      </w:r>
      <w:r>
        <w:rPr>
          <w:rStyle w:val="Hyperlink.0"/>
          <w:rFonts w:ascii="Calibri Light" w:cs="Calibri Light" w:hAnsi="Calibri Light" w:eastAsia="Calibri Light"/>
          <w:color w:val="0000ff"/>
          <w:sz w:val="18"/>
          <w:szCs w:val="18"/>
          <w:u w:val="single" w:color="0000ff"/>
          <w:lang w:val="en-US"/>
        </w:rPr>
        <w:instrText xml:space="preserve"> HYPERLINK "http://dx.doi.org/10.1016/j.bbrep.2016.07.008"</w:instrText>
      </w:r>
      <w:r>
        <w:rPr>
          <w:rStyle w:val="Hyperlink.0"/>
          <w:rFonts w:ascii="Calibri Light" w:cs="Calibri Light" w:hAnsi="Calibri Light" w:eastAsia="Calibri Light"/>
          <w:color w:val="0000ff"/>
          <w:sz w:val="18"/>
          <w:szCs w:val="18"/>
          <w:u w:val="single" w:color="0000ff"/>
          <w:lang w:val="en-US"/>
        </w:rPr>
        <w:fldChar w:fldCharType="separate" w:fldLock="0"/>
      </w:r>
      <w:r>
        <w:rPr>
          <w:rStyle w:val="Hyperlink.0"/>
          <w:rFonts w:ascii="Calibri Light" w:hAnsi="Calibri Light"/>
          <w:color w:val="0000ff"/>
          <w:sz w:val="18"/>
          <w:szCs w:val="18"/>
          <w:u w:val="single" w:color="0000ff"/>
          <w:rtl w:val="0"/>
          <w:lang w:val="en-US"/>
        </w:rPr>
        <w:t>http://dx.doi.org/10.1016/j.bbrep.2016.07.008</w:t>
      </w:r>
      <w:r>
        <w:rPr>
          <w:rFonts w:ascii="Calibri Light" w:cs="Calibri Light" w:hAnsi="Calibri Light" w:eastAsia="Calibri Light"/>
          <w:sz w:val="18"/>
          <w:szCs w:val="18"/>
          <w:lang w:val="en-US"/>
        </w:rPr>
        <w:fldChar w:fldCharType="end" w:fldLock="0"/>
      </w:r>
    </w:p>
    <w:p>
      <w:pPr>
        <w:pStyle w:val="Default"/>
        <w:widowControl w:val="0"/>
        <w:numPr>
          <w:ilvl w:val="0"/>
          <w:numId w:val="2"/>
        </w:numPr>
        <w:bidi w:val="0"/>
        <w:spacing w:before="90" w:line="216" w:lineRule="exact"/>
        <w:ind w:right="138"/>
        <w:jc w:val="both"/>
        <w:rPr>
          <w:rStyle w:val="None"/>
          <w:rFonts w:ascii="Calibri" w:cs="Calibri" w:hAnsi="Calibri" w:eastAsia="Calibri"/>
          <w:sz w:val="18"/>
          <w:szCs w:val="18"/>
          <w:u w:color="000000"/>
          <w:rtl w:val="0"/>
          <w:lang w:val="en-US"/>
        </w:rPr>
      </w:pPr>
      <w:r>
        <w:rPr>
          <w:rStyle w:val="None"/>
          <w:rFonts w:ascii="Calibri Light" w:hAnsi="Calibri Light"/>
          <w:sz w:val="18"/>
          <w:szCs w:val="18"/>
          <w:u w:color="000000"/>
          <w:rtl w:val="0"/>
          <w:lang w:val="en-US"/>
        </w:rPr>
        <w:t xml:space="preserve">Eram M S, Ma K. (2014). The Bifunctional Pyruvate Decarboxylase/ Pyruvate Ferredoxin Oxidoreductase from </w:t>
      </w:r>
      <w:r>
        <w:rPr>
          <w:rStyle w:val="None"/>
          <w:rFonts w:ascii="Calibri" w:hAnsi="Calibri"/>
          <w:i w:val="1"/>
          <w:iCs w:val="1"/>
          <w:sz w:val="18"/>
          <w:szCs w:val="18"/>
          <w:u w:color="000000"/>
          <w:rtl w:val="0"/>
          <w:lang w:val="en-US"/>
        </w:rPr>
        <w:t>Thermococcus guaymasensis</w:t>
      </w:r>
      <w:r>
        <w:rPr>
          <w:rStyle w:val="None"/>
          <w:rFonts w:ascii="Calibri Light" w:hAnsi="Calibri Light"/>
          <w:sz w:val="18"/>
          <w:szCs w:val="18"/>
          <w:u w:color="000000"/>
          <w:rtl w:val="0"/>
          <w:lang w:val="en-US"/>
        </w:rPr>
        <w:t>.</w:t>
      </w:r>
      <w:r>
        <w:rPr>
          <w:rStyle w:val="None"/>
          <w:rFonts w:ascii="Calibri" w:hAnsi="Calibri" w:hint="default"/>
          <w:i w:val="1"/>
          <w:iCs w:val="1"/>
          <w:sz w:val="18"/>
          <w:szCs w:val="18"/>
          <w:u w:color="000000"/>
          <w:rtl w:val="0"/>
          <w:lang w:val="en-US"/>
        </w:rPr>
        <w:t> </w:t>
      </w:r>
      <w:r>
        <w:rPr>
          <w:rStyle w:val="None"/>
          <w:rFonts w:ascii="Calibri" w:hAnsi="Calibri"/>
          <w:i w:val="1"/>
          <w:iCs w:val="1"/>
          <w:sz w:val="18"/>
          <w:szCs w:val="18"/>
          <w:u w:color="000000"/>
          <w:rtl w:val="0"/>
          <w:lang w:val="en-US"/>
        </w:rPr>
        <w:t>Archaea,</w:t>
      </w:r>
      <w:r>
        <w:rPr>
          <w:rStyle w:val="None"/>
          <w:rFonts w:ascii="Calibri" w:hAnsi="Calibri" w:hint="default"/>
          <w:i w:val="1"/>
          <w:iCs w:val="1"/>
          <w:sz w:val="18"/>
          <w:szCs w:val="18"/>
          <w:u w:color="000000"/>
          <w:rtl w:val="0"/>
          <w:lang w:val="en-US"/>
        </w:rPr>
        <w:t> </w:t>
      </w:r>
      <w:r>
        <w:rPr>
          <w:rStyle w:val="None"/>
          <w:rFonts w:ascii="Calibri" w:hAnsi="Calibri"/>
          <w:i w:val="1"/>
          <w:iCs w:val="1"/>
          <w:sz w:val="18"/>
          <w:szCs w:val="18"/>
          <w:u w:color="000000"/>
          <w:rtl w:val="0"/>
          <w:lang w:val="en-US"/>
        </w:rPr>
        <w:t>2014</w:t>
      </w:r>
      <w:r>
        <w:rPr>
          <w:rStyle w:val="None"/>
          <w:rFonts w:ascii="Calibri Light" w:hAnsi="Calibri Light" w:hint="default"/>
          <w:sz w:val="18"/>
          <w:szCs w:val="18"/>
          <w:u w:color="000000"/>
          <w:rtl w:val="0"/>
          <w:lang w:val="en-US"/>
        </w:rPr>
        <w:t> </w:t>
      </w:r>
      <w:r>
        <w:rPr>
          <w:rStyle w:val="None"/>
          <w:rFonts w:ascii="Calibri Light" w:hAnsi="Calibri Light"/>
          <w:sz w:val="18"/>
          <w:szCs w:val="18"/>
          <w:u w:color="000000"/>
          <w:rtl w:val="0"/>
          <w:lang w:val="en-US"/>
        </w:rPr>
        <w:t>doi:10.1155/2014/349379</w:t>
      </w:r>
      <w:r>
        <w:rPr>
          <w:rStyle w:val="None"/>
          <w:rFonts w:ascii="Calibri" w:hAnsi="Calibri"/>
          <w:sz w:val="18"/>
          <w:szCs w:val="18"/>
          <w:u w:color="000000"/>
          <w:rtl w:val="0"/>
          <w:lang w:val="en-US"/>
        </w:rPr>
        <w:t>.</w:t>
      </w:r>
    </w:p>
    <w:p>
      <w:pPr>
        <w:pStyle w:val="Default"/>
        <w:widowControl w:val="0"/>
        <w:numPr>
          <w:ilvl w:val="0"/>
          <w:numId w:val="3"/>
        </w:numPr>
        <w:bidi w:val="0"/>
        <w:spacing w:before="90" w:line="216" w:lineRule="exact"/>
        <w:ind w:right="138"/>
        <w:jc w:val="both"/>
        <w:rPr>
          <w:rStyle w:val="None"/>
          <w:rFonts w:ascii="Calibri Light" w:cs="Calibri Light" w:hAnsi="Calibri Light" w:eastAsia="Calibri Light"/>
          <w:sz w:val="18"/>
          <w:szCs w:val="18"/>
          <w:u w:color="000000"/>
          <w:rtl w:val="0"/>
          <w:lang w:val="pt-PT"/>
        </w:rPr>
      </w:pPr>
      <w:r>
        <w:rPr>
          <w:rStyle w:val="None"/>
          <w:rFonts w:ascii="Times New Roman" w:hAnsi="Times New Roman"/>
          <w:sz w:val="17"/>
          <w:szCs w:val="17"/>
          <w:rtl w:val="0"/>
          <w:lang w:val="pt-PT"/>
        </w:rPr>
        <w:t>Eram MS, Wong A, Oduaran E,</w:t>
      </w:r>
      <w:r>
        <w:rPr>
          <w:rStyle w:val="None"/>
          <w:rFonts w:ascii="Times New Roman" w:hAnsi="Times New Roman"/>
          <w:sz w:val="17"/>
          <w:szCs w:val="17"/>
          <w:vertAlign w:val="superscript"/>
          <w:rtl w:val="0"/>
          <w:lang w:val="pt-PT"/>
        </w:rPr>
        <w:t xml:space="preserve"> </w:t>
      </w:r>
      <w:r>
        <w:rPr>
          <w:rStyle w:val="None"/>
          <w:rFonts w:ascii="Times New Roman" w:hAnsi="Times New Roman"/>
          <w:sz w:val="17"/>
          <w:szCs w:val="17"/>
          <w:rtl w:val="0"/>
          <w:lang w:val="pt-PT"/>
        </w:rPr>
        <w:t xml:space="preserve">Ma K (2015) Molecular and biochemical characterization of bifunctional pyruvate decarboxylases and pyruvate ferredoxin oxidoreductases from </w:t>
      </w:r>
      <w:r>
        <w:rPr>
          <w:rStyle w:val="None"/>
          <w:rFonts w:ascii="Times New Roman" w:hAnsi="Times New Roman"/>
          <w:i w:val="1"/>
          <w:iCs w:val="1"/>
          <w:sz w:val="17"/>
          <w:szCs w:val="17"/>
          <w:rtl w:val="0"/>
          <w:lang w:val="pt-PT"/>
        </w:rPr>
        <w:t>Thermotoga maritima</w:t>
      </w:r>
      <w:r>
        <w:rPr>
          <w:rStyle w:val="None"/>
          <w:rFonts w:ascii="Times New Roman" w:hAnsi="Times New Roman"/>
          <w:sz w:val="17"/>
          <w:szCs w:val="17"/>
          <w:rtl w:val="0"/>
          <w:lang w:val="pt-PT"/>
        </w:rPr>
        <w:t xml:space="preserve"> and </w:t>
      </w:r>
      <w:r>
        <w:rPr>
          <w:rStyle w:val="None"/>
          <w:rFonts w:ascii="Times New Roman" w:hAnsi="Times New Roman"/>
          <w:i w:val="1"/>
          <w:iCs w:val="1"/>
          <w:sz w:val="17"/>
          <w:szCs w:val="17"/>
          <w:rtl w:val="0"/>
          <w:lang w:val="pt-PT"/>
        </w:rPr>
        <w:t>Thermotoga hypogea</w:t>
      </w:r>
      <w:r>
        <w:rPr>
          <w:rStyle w:val="None"/>
          <w:rFonts w:ascii="Times New Roman" w:hAnsi="Times New Roman"/>
          <w:b w:val="1"/>
          <w:bCs w:val="1"/>
          <w:i w:val="1"/>
          <w:iCs w:val="1"/>
          <w:color w:val="00a2ff"/>
          <w:sz w:val="17"/>
          <w:szCs w:val="17"/>
          <w:u w:color="00a2ff"/>
          <w:rtl w:val="0"/>
          <w:lang w:val="pt-PT"/>
        </w:rPr>
        <w:t xml:space="preserve">. </w:t>
      </w:r>
      <w:r>
        <w:rPr>
          <w:rStyle w:val="None"/>
          <w:rFonts w:ascii="Times New Roman" w:hAnsi="Times New Roman"/>
          <w:b w:val="1"/>
          <w:bCs w:val="1"/>
          <w:color w:val="00a2ff"/>
          <w:sz w:val="17"/>
          <w:szCs w:val="17"/>
          <w:u w:color="00a2ff"/>
          <w:rtl w:val="0"/>
          <w:lang w:val="pt-PT"/>
        </w:rPr>
        <w:t>J. Biochem</w:t>
      </w:r>
      <w:r>
        <w:rPr>
          <w:rStyle w:val="None"/>
          <w:rFonts w:ascii="Times New Roman" w:hAnsi="Times New Roman"/>
          <w:b w:val="1"/>
          <w:bCs w:val="1"/>
          <w:i w:val="1"/>
          <w:iCs w:val="1"/>
          <w:color w:val="00a2ff"/>
          <w:sz w:val="17"/>
          <w:szCs w:val="17"/>
          <w:u w:color="00a2ff"/>
          <w:rtl w:val="0"/>
          <w:lang w:val="pt-PT"/>
        </w:rPr>
        <w:t xml:space="preserve">.  </w:t>
      </w:r>
      <w:r>
        <w:rPr>
          <w:rStyle w:val="None"/>
          <w:rFonts w:ascii="Times New Roman" w:hAnsi="Times New Roman"/>
          <w:sz w:val="17"/>
          <w:szCs w:val="17"/>
          <w:rtl w:val="0"/>
          <w:lang w:val="pt-PT"/>
        </w:rPr>
        <w:t>10.1093/jb/mvv058</w:t>
      </w:r>
    </w:p>
    <w:p>
      <w:pPr>
        <w:pStyle w:val="Default"/>
        <w:widowControl w:val="0"/>
        <w:numPr>
          <w:ilvl w:val="0"/>
          <w:numId w:val="2"/>
        </w:numPr>
        <w:bidi w:val="0"/>
        <w:spacing w:before="90" w:line="216" w:lineRule="exact"/>
        <w:ind w:right="138"/>
        <w:jc w:val="both"/>
        <w:rPr>
          <w:rStyle w:val="None"/>
          <w:rFonts w:ascii="Calibri Light" w:cs="Calibri Light" w:hAnsi="Calibri Light" w:eastAsia="Calibri Light"/>
          <w:sz w:val="18"/>
          <w:szCs w:val="18"/>
          <w:u w:color="000000"/>
          <w:rtl w:val="0"/>
          <w:lang w:val="en-US"/>
        </w:rPr>
      </w:pPr>
      <w:r>
        <w:rPr>
          <w:rStyle w:val="None"/>
          <w:rFonts w:ascii="Calibri Light" w:hAnsi="Calibri Light"/>
          <w:sz w:val="18"/>
          <w:szCs w:val="18"/>
          <w:u w:color="000000"/>
          <w:rtl w:val="0"/>
          <w:lang w:val="en-US"/>
        </w:rPr>
        <w:t>Park Y J, Yoo C B, Choi S Y, Lee H B. (2006). Purifications and characterizations of a ferredoxin and its related 2-oxoacid: ferredoxin oxidoreductase from the hyperthermophilic archaeon, Sulfolobus solfataricus P1. BMB Reports, 39(1), 46-54.</w:t>
      </w:r>
      <w:r>
        <w:rPr>
          <w:rStyle w:val="None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u w:color="000000"/>
          <w:rtl w:val="1"/>
          <w:lang w:val="ar-SA" w:bidi="ar-SA"/>
        </w:rPr>
        <w:t>‏</w:t>
      </w:r>
      <w:r>
        <w:rPr>
          <w:rStyle w:val="None"/>
          <w:rFonts w:ascii="Calibri Light" w:hAnsi="Calibri Light"/>
          <w:sz w:val="18"/>
          <w:szCs w:val="18"/>
          <w:u w:color="000000"/>
          <w:rtl w:val="0"/>
          <w:lang w:val="en-US"/>
        </w:rPr>
        <w:t xml:space="preserve"> ISO 690</w:t>
      </w:r>
    </w:p>
    <w:p>
      <w:pPr>
        <w:pStyle w:val="Body A"/>
        <w:widowControl w:val="0"/>
        <w:spacing w:line="200" w:lineRule="exact"/>
        <w:jc w:val="both"/>
        <w:sectPr>
          <w:type w:val="continuous"/>
          <w:pgSz w:w="12240" w:h="15840" w:orient="portrait"/>
          <w:pgMar w:top="1440" w:right="1460" w:bottom="1440" w:left="1440" w:header="720" w:footer="864"/>
          <w:cols w:space="722" w:num="2" w:equalWidth="1"/>
          <w:bidi w:val="0"/>
        </w:sectPr>
      </w:pPr>
    </w:p>
    <w:p>
      <w:pPr>
        <w:pStyle w:val="Default"/>
        <w:widowControl w:val="0"/>
        <w:rPr>
          <w:rStyle w:val="None"/>
          <w:rFonts w:ascii="Calibri" w:cs="Calibri" w:hAnsi="Calibri" w:eastAsia="Calibri"/>
          <w:sz w:val="20"/>
          <w:szCs w:val="20"/>
          <w:u w:color="000000"/>
          <w:lang w:val="en-US"/>
        </w:rPr>
      </w:pPr>
    </w:p>
    <w:p>
      <w:pPr>
        <w:pStyle w:val="Default"/>
        <w:widowControl w:val="0"/>
        <w:rPr>
          <w:rStyle w:val="None"/>
          <w:rFonts w:ascii="Calibri" w:cs="Calibri" w:hAnsi="Calibri" w:eastAsia="Calibri"/>
          <w:sz w:val="20"/>
          <w:szCs w:val="20"/>
          <w:u w:color="000000"/>
          <w:lang w:val="en-US"/>
        </w:rPr>
      </w:pPr>
    </w:p>
    <w:p>
      <w:pPr>
        <w:pStyle w:val="Default"/>
        <w:widowControl w:val="0"/>
        <w:spacing w:line="40" w:lineRule="exact"/>
        <w:ind w:left="2202" w:firstLine="0"/>
        <w:rPr>
          <w:rStyle w:val="None"/>
          <w:rFonts w:ascii="Calibri" w:cs="Calibri" w:hAnsi="Calibri" w:eastAsia="Calibri"/>
          <w:sz w:val="4"/>
          <w:szCs w:val="4"/>
          <w:u w:color="000000"/>
        </w:rPr>
      </w:pPr>
      <w:r>
        <w:rPr>
          <w:rStyle w:val="None"/>
          <w:rFonts w:ascii="Calibri" w:cs="Calibri" w:hAnsi="Calibri" w:eastAsia="Calibri"/>
          <w:sz w:val="4"/>
          <w:szCs w:val="4"/>
          <w:u w:color="000000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25" name="officeArt object" descr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Body A"/>
        <w:widowControl w:val="0"/>
        <w:spacing w:before="92"/>
        <w:ind w:right="4234"/>
      </w:pPr>
      <w:r>
        <w:rPr>
          <w:rStyle w:val="None"/>
          <w:rFonts w:ascii="Tw Cen MT" w:hAnsi="Tw Cen MT"/>
          <w:u w:color="000000"/>
          <w:rtl w:val="0"/>
          <w:lang w:val="en-US"/>
        </w:rPr>
        <w:t xml:space="preserve">          </w:t>
      </w:r>
      <w:r>
        <w:rPr>
          <w:rStyle w:val="None"/>
          <w:rFonts w:ascii="Arial" w:cs="Arial" w:hAnsi="Arial" w:eastAsia="Arial"/>
          <w:sz w:val="14"/>
          <w:szCs w:val="14"/>
          <w:u w:color="000000"/>
        </w:rPr>
      </w:r>
    </w:p>
    <w:sectPr>
      <w:type w:val="continuous"/>
      <w:pgSz w:w="12240" w:h="15840" w:orient="portrait"/>
      <w:pgMar w:top="1440" w:right="146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 Math">
    <w:charset w:val="00"/>
    <w:family w:val="roman"/>
    <w:pitch w:val="default"/>
  </w:font>
  <w:font w:name="Tw Cen MT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384"/>
        </w:tabs>
        <w:ind w:left="38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84"/>
        </w:tabs>
        <w:ind w:left="100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84"/>
        </w:tabs>
        <w:ind w:left="172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84"/>
        </w:tabs>
        <w:ind w:left="244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84"/>
        </w:tabs>
        <w:ind w:left="316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84"/>
        </w:tabs>
        <w:ind w:left="388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84"/>
        </w:tabs>
        <w:ind w:left="460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84"/>
        </w:tabs>
        <w:ind w:left="532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84"/>
        </w:tabs>
        <w:ind w:left="604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0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384"/>
          </w:tabs>
          <w:ind w:left="102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384"/>
          </w:tabs>
          <w:ind w:left="174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384"/>
          </w:tabs>
          <w:ind w:left="246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384"/>
          </w:tabs>
          <w:ind w:left="318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384"/>
          </w:tabs>
          <w:ind w:left="390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84"/>
          </w:tabs>
          <w:ind w:left="462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384"/>
          </w:tabs>
          <w:ind w:left="534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384"/>
          </w:tabs>
          <w:ind w:left="6060" w:hanging="3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Heading">
    <w:name w:val="Heading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paragraph" w:styleId="Heading 3">
    <w:name w:val="Heading 3"/>
    <w:next w:val="Body A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2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 w:color="000000"/>
      <w:vertAlign w:val="baseline"/>
      <w:lang w:val="de-DE"/>
    </w:rPr>
  </w:style>
  <w:style w:type="numbering" w:styleId="Imported Style 1">
    <w:name w:val="Imported Style 1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color w:val="0000ff"/>
      <w:u w:val="single" w:color="0000ff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