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B7D" w:rsidRPr="00DA44EE" w:rsidRDefault="002E0B7D" w:rsidP="002E0B7D">
      <w:pPr>
        <w:pStyle w:val="BodyText"/>
        <w:spacing w:before="73" w:line="276" w:lineRule="auto"/>
        <w:ind w:left="100" w:right="160"/>
        <w:rPr>
          <w:rFonts w:ascii="Minion Pro" w:eastAsia="Minion Pro" w:hAnsi="Minion Pro" w:cs="Minion Pro"/>
          <w:b/>
          <w:bCs/>
          <w:i/>
          <w:color w:val="337AB7"/>
          <w:sz w:val="36"/>
          <w:szCs w:val="36"/>
        </w:rPr>
      </w:pPr>
      <w:r w:rsidRPr="00DA44EE">
        <w:rPr>
          <w:rFonts w:ascii="Minion Pro" w:eastAsia="Minion Pro" w:hAnsi="Minion Pro" w:cs="Minion Pro"/>
          <w:b/>
          <w:bCs/>
          <w:i/>
          <w:color w:val="337AB7"/>
          <w:sz w:val="36"/>
          <w:szCs w:val="36"/>
        </w:rPr>
        <w:t xml:space="preserve">Detection of </w:t>
      </w:r>
      <w:r>
        <w:rPr>
          <w:rFonts w:ascii="Minion Pro" w:eastAsia="Minion Pro" w:hAnsi="Minion Pro" w:cs="Minion Pro"/>
          <w:b/>
          <w:bCs/>
          <w:i/>
          <w:color w:val="337AB7"/>
          <w:sz w:val="36"/>
          <w:szCs w:val="36"/>
        </w:rPr>
        <w:t xml:space="preserve"> food toxins and  Cancer biomarkers </w:t>
      </w:r>
      <w:r w:rsidRPr="00DA44EE">
        <w:rPr>
          <w:rFonts w:ascii="Minion Pro" w:eastAsia="Minion Pro" w:hAnsi="Minion Pro" w:cs="Minion Pro"/>
          <w:b/>
          <w:bCs/>
          <w:i/>
          <w:color w:val="337AB7"/>
          <w:sz w:val="36"/>
          <w:szCs w:val="36"/>
        </w:rPr>
        <w:t xml:space="preserve">using Nano based Dipstick  and  Metal Enhanced Chemiluminescence </w:t>
      </w:r>
      <w:r>
        <w:rPr>
          <w:rFonts w:ascii="Minion Pro" w:eastAsia="Minion Pro" w:hAnsi="Minion Pro" w:cs="Minion Pro"/>
          <w:b/>
          <w:bCs/>
          <w:i/>
          <w:color w:val="337AB7"/>
          <w:sz w:val="36"/>
          <w:szCs w:val="36"/>
        </w:rPr>
        <w:t xml:space="preserve"> </w:t>
      </w:r>
      <w:r w:rsidRPr="00DA44EE">
        <w:rPr>
          <w:rFonts w:ascii="Minion Pro" w:eastAsia="Minion Pro" w:hAnsi="Minion Pro" w:cs="Minion Pro"/>
          <w:b/>
          <w:bCs/>
          <w:i/>
          <w:color w:val="337AB7"/>
          <w:sz w:val="36"/>
          <w:szCs w:val="36"/>
        </w:rPr>
        <w:t>biosensing techniques: An affordable diagnostics</w:t>
      </w:r>
    </w:p>
    <w:p w:rsidR="002E0B7D" w:rsidRPr="00B9647B" w:rsidRDefault="00362D35" w:rsidP="002E0B7D">
      <w:pPr>
        <w:pStyle w:val="BodyText"/>
        <w:spacing w:before="73" w:line="360" w:lineRule="auto"/>
        <w:ind w:left="100" w:right="160"/>
        <w:jc w:val="both"/>
        <w:rPr>
          <w:rFonts w:ascii="Arial"/>
          <w:b/>
        </w:rPr>
      </w:pPr>
      <w:r>
        <w:rPr>
          <w:rFonts w:ascii="Arial"/>
          <w:b/>
        </w:rPr>
        <w:t>M.S. Thakur,  Veda S.N.</w:t>
      </w:r>
      <w:r w:rsidR="002E0B7D" w:rsidRPr="00B9647B">
        <w:rPr>
          <w:rFonts w:ascii="Arial"/>
          <w:b/>
        </w:rPr>
        <w:t xml:space="preserve"> and Ganavi</w:t>
      </w:r>
      <w:r w:rsidR="001971E9">
        <w:rPr>
          <w:rFonts w:ascii="Arial"/>
          <w:b/>
        </w:rPr>
        <w:t xml:space="preserve"> H.S, Sadhana H Upadhya </w:t>
      </w:r>
      <w:r w:rsidR="00CF5D11">
        <w:rPr>
          <w:rFonts w:ascii="Arial"/>
          <w:b/>
        </w:rPr>
        <w:t xml:space="preserve">Nitte </w:t>
      </w:r>
      <w:r w:rsidR="002E0B7D" w:rsidRPr="00B9647B">
        <w:rPr>
          <w:rFonts w:ascii="Arial"/>
          <w:b/>
        </w:rPr>
        <w:t>Meena</w:t>
      </w:r>
      <w:r w:rsidR="00CF5D11">
        <w:rPr>
          <w:rFonts w:ascii="Arial"/>
          <w:b/>
        </w:rPr>
        <w:t>k</w:t>
      </w:r>
      <w:r w:rsidR="002E0B7D" w:rsidRPr="00B9647B">
        <w:rPr>
          <w:rFonts w:ascii="Arial"/>
          <w:b/>
        </w:rPr>
        <w:t>shi  Institute of Technology, Bangalore</w:t>
      </w:r>
      <w:r w:rsidR="00CF5D11">
        <w:rPr>
          <w:rFonts w:ascii="Arial"/>
          <w:b/>
        </w:rPr>
        <w:t>-</w:t>
      </w:r>
      <w:r w:rsidR="002E0B7D" w:rsidRPr="00B9647B">
        <w:rPr>
          <w:rFonts w:ascii="Arial"/>
          <w:b/>
        </w:rPr>
        <w:t xml:space="preserve"> India </w:t>
      </w:r>
    </w:p>
    <w:p w:rsidR="002E0B7D" w:rsidRPr="001614F9" w:rsidRDefault="002E0B7D" w:rsidP="002E0B7D">
      <w:pPr>
        <w:rPr>
          <w:b/>
        </w:rPr>
      </w:pPr>
    </w:p>
    <w:p w:rsidR="002E0B7D" w:rsidRDefault="002E0B7D" w:rsidP="002E0B7D">
      <w:pPr>
        <w:rPr>
          <w:rFonts w:ascii="Arial"/>
          <w:sz w:val="21"/>
        </w:rPr>
        <w:sectPr w:rsidR="002E0B7D" w:rsidSect="002E0B7D">
          <w:headerReference w:type="default" r:id="rId7"/>
          <w:footerReference w:type="default" r:id="rId8"/>
          <w:type w:val="continuous"/>
          <w:pgSz w:w="11910" w:h="16840"/>
          <w:pgMar w:top="1740" w:right="600" w:bottom="840" w:left="620" w:header="541" w:footer="642" w:gutter="0"/>
          <w:cols w:space="720"/>
        </w:sectPr>
      </w:pPr>
    </w:p>
    <w:p w:rsidR="002E0B7D" w:rsidRDefault="002E0B7D" w:rsidP="002E0B7D">
      <w:pPr>
        <w:pStyle w:val="Heading3"/>
        <w:spacing w:before="147"/>
        <w:jc w:val="both"/>
      </w:pPr>
      <w:r>
        <w:rPr>
          <w:color w:val="BF5A14"/>
        </w:rPr>
        <w:lastRenderedPageBreak/>
        <w:t>Abstract</w:t>
      </w:r>
    </w:p>
    <w:p w:rsidR="002E0B7D" w:rsidRPr="00B9647B" w:rsidRDefault="002E0B7D" w:rsidP="002E0B7D">
      <w:pPr>
        <w:autoSpaceDE w:val="0"/>
        <w:autoSpaceDN w:val="0"/>
        <w:adjustRightInd w:val="0"/>
        <w:jc w:val="both"/>
        <w:rPr>
          <w:rFonts w:ascii="Arial" w:hAnsi="Arial" w:cs="Arial"/>
        </w:rPr>
      </w:pPr>
      <w:r w:rsidRPr="00B9647B">
        <w:rPr>
          <w:rFonts w:eastAsia="Times New Roman" w:cs="Arial"/>
        </w:rPr>
        <w:t>Nanobiotechnology has advanced in the field of biosensor</w:t>
      </w:r>
      <w:r w:rsidRPr="00B9647B">
        <w:rPr>
          <w:rFonts w:cs="Arial"/>
        </w:rPr>
        <w:t xml:space="preserve"> </w:t>
      </w:r>
      <w:r w:rsidRPr="00B9647B">
        <w:rPr>
          <w:rFonts w:eastAsia="Times New Roman" w:cs="Arial"/>
        </w:rPr>
        <w:t xml:space="preserve"> with the application  of  quantum dots (QDs), gold, silver, carbon nanoparticles.    These particles have characteristic  size, high photo-stability and size tunable emission properties make them highly attractive materials in the field of biological analysis with high sensitivity and rapid analysis for many bioassays. Studies on the immobilization of antibodies with  nanoparticles to detect pesticides,  toxins and pathogens have recently bee</w:t>
      </w:r>
      <w:r w:rsidRPr="00B9647B">
        <w:rPr>
          <w:rFonts w:cs="Arial"/>
        </w:rPr>
        <w:t>n reported ( Fig1)</w:t>
      </w:r>
      <w:r w:rsidRPr="00B9647B">
        <w:rPr>
          <w:rFonts w:eastAsia="Times New Roman" w:cs="Arial"/>
        </w:rPr>
        <w:t>.</w:t>
      </w:r>
      <w:r w:rsidRPr="00B9647B">
        <w:rPr>
          <w:rFonts w:cs="Arial"/>
        </w:rPr>
        <w:t xml:space="preserve"> Now attempts are being made to detect cancer using biomarkers.</w:t>
      </w:r>
      <w:r w:rsidRPr="00B9647B">
        <w:rPr>
          <w:rFonts w:eastAsia="+mn-ea" w:cs="+mn-cs"/>
          <w:i/>
          <w:iCs/>
          <w:color w:val="000000"/>
          <w:kern w:val="24"/>
        </w:rPr>
        <w:t xml:space="preserve"> </w:t>
      </w:r>
      <w:r w:rsidRPr="00B9647B">
        <w:rPr>
          <w:rFonts w:cs="Arial"/>
        </w:rPr>
        <w:t xml:space="preserve">Cancer is one of the most life threatening disease. Most common type of cancer is Breast Cancer and it is the leading cause of cancer related disabilities and deaths in women throughout the world, there is a strong need to develop the rapid and reliable clinical method for the highly sensitive detection of the breast cancer bio-marker </w:t>
      </w:r>
      <w:r w:rsidR="005E3664">
        <w:rPr>
          <w:rFonts w:cs="Arial"/>
        </w:rPr>
        <w:t xml:space="preserve">(BCB) </w:t>
      </w:r>
      <w:r w:rsidRPr="00B9647B">
        <w:rPr>
          <w:rFonts w:cs="Arial"/>
        </w:rPr>
        <w:t>CA 15-3 using gold/quantum dot nanoparticles based immunosensor ( Figure 1). Signals of Nanobiosensor  will be  enhanced by using metal enhanced chemiluminescence (MEC, Figure 2) . Gold nanoparticle has inherent nature of displaying different colours based on size and shape. This is due to localized surface plasma resonance (LSPR), this colour is increased or decreased based on antigen-antibody reaction on the paper strip/nitrocellulose strip,thus this phenomenon will be standardized for the detection of the pesticides, Toxins ( Aflatoxin) vitamin B12, cancer marker such P53 and CA 15-3. In the system, up to 100%enhancement of chemiluminescence was observed in the presence of citrate capped gold nanoparticles        (Figure 2). Based on this technique, a dipstick based enhanced chemiluminescence for detection of various cancer biomarker,  can be developed for the sensitive detection.</w:t>
      </w:r>
      <w:r w:rsidRPr="00B9647B">
        <w:rPr>
          <w:rFonts w:eastAsia="Times New Roman" w:cs="Arial"/>
          <w:color w:val="2E2E2E"/>
        </w:rPr>
        <w:t xml:space="preserve"> </w:t>
      </w:r>
      <w:r w:rsidRPr="00B9647B">
        <w:rPr>
          <w:rFonts w:cs="Arial"/>
        </w:rPr>
        <w:t>Point-of-care diagnostic devices present a viable option for the rapid and sensitive detection and analysis</w:t>
      </w:r>
      <w:r w:rsidRPr="00B9647B">
        <w:rPr>
          <w:rFonts w:ascii="Arial" w:hAnsi="Arial" w:cs="Arial"/>
        </w:rPr>
        <w:t xml:space="preserve"> </w:t>
      </w:r>
      <w:r w:rsidRPr="00B9647B">
        <w:rPr>
          <w:rFonts w:cs="Arial"/>
        </w:rPr>
        <w:t>of various diseases .</w:t>
      </w:r>
      <w:r w:rsidRPr="00B9647B">
        <w:rPr>
          <w:rFonts w:ascii="Arial" w:hAnsi="Arial" w:cs="Arial"/>
        </w:rPr>
        <w:t xml:space="preserve"> </w:t>
      </w:r>
    </w:p>
    <w:p w:rsidR="00B9647B" w:rsidRPr="00B9647B" w:rsidRDefault="002E0B7D" w:rsidP="002E0B7D">
      <w:pPr>
        <w:spacing w:after="200" w:line="276" w:lineRule="auto"/>
        <w:jc w:val="both"/>
        <w:rPr>
          <w:rFonts w:cs="Arial"/>
          <w:lang w:val="en-GB"/>
        </w:rPr>
      </w:pPr>
      <w:r w:rsidRPr="00B9647B">
        <w:rPr>
          <w:rFonts w:cs="Arial"/>
          <w:lang w:val="en-GB"/>
        </w:rPr>
        <w:t xml:space="preserve"> </w:t>
      </w: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B9647B" w:rsidRDefault="00B9647B" w:rsidP="002E0B7D">
      <w:pPr>
        <w:spacing w:after="200" w:line="276" w:lineRule="auto"/>
        <w:jc w:val="both"/>
        <w:rPr>
          <w:rFonts w:cs="Arial"/>
          <w:lang w:val="en-GB"/>
        </w:rPr>
      </w:pPr>
    </w:p>
    <w:p w:rsidR="002E0B7D" w:rsidRPr="00FB4F8A" w:rsidRDefault="002E0B7D" w:rsidP="002E0B7D">
      <w:pPr>
        <w:spacing w:after="200" w:line="276" w:lineRule="auto"/>
        <w:jc w:val="both"/>
        <w:rPr>
          <w:rFonts w:asciiTheme="minorHAnsi" w:eastAsiaTheme="minorEastAsia" w:hAnsiTheme="minorHAnsi" w:cs="Arial"/>
        </w:rPr>
      </w:pPr>
      <w:r w:rsidRPr="00DA44EE">
        <w:rPr>
          <w:rFonts w:cs="Arial"/>
          <w:b/>
          <w:lang w:val="en-GB"/>
        </w:rPr>
        <w:t>Figure 1:</w:t>
      </w:r>
      <w:r>
        <w:rPr>
          <w:rFonts w:cs="Arial"/>
          <w:b/>
          <w:bCs/>
        </w:rPr>
        <w:t xml:space="preserve"> G</w:t>
      </w:r>
      <w:r w:rsidRPr="00FB4F8A">
        <w:rPr>
          <w:rFonts w:asciiTheme="minorHAnsi" w:eastAsiaTheme="minorEastAsia" w:hAnsiTheme="minorHAnsi" w:cs="Arial"/>
          <w:b/>
          <w:bCs/>
        </w:rPr>
        <w:t xml:space="preserve">old </w:t>
      </w:r>
      <w:r>
        <w:rPr>
          <w:rFonts w:cs="Arial"/>
          <w:b/>
          <w:bCs/>
        </w:rPr>
        <w:t xml:space="preserve">nanoparticle </w:t>
      </w:r>
      <w:r w:rsidRPr="00FB4F8A">
        <w:rPr>
          <w:rFonts w:asciiTheme="minorHAnsi" w:eastAsiaTheme="minorEastAsia" w:hAnsiTheme="minorHAnsi" w:cs="Arial"/>
          <w:b/>
          <w:bCs/>
        </w:rPr>
        <w:t>based detection of pesticides</w:t>
      </w:r>
      <w:r>
        <w:rPr>
          <w:rFonts w:cs="Arial"/>
          <w:b/>
          <w:bCs/>
        </w:rPr>
        <w:t xml:space="preserve">/BCB using dipstick Biosensing Technique </w:t>
      </w:r>
    </w:p>
    <w:p w:rsidR="002E0B7D" w:rsidRPr="00B9647B" w:rsidRDefault="00B9647B" w:rsidP="00B9647B">
      <w:pPr>
        <w:spacing w:line="276" w:lineRule="auto"/>
        <w:jc w:val="both"/>
        <w:rPr>
          <w:rFonts w:cs="Arial"/>
          <w:lang w:val="en-GB"/>
        </w:rPr>
      </w:pPr>
      <w:r w:rsidRPr="00B9647B">
        <w:rPr>
          <w:noProof/>
          <w:shd w:val="clear" w:color="auto" w:fill="000000" w:themeFill="text1"/>
        </w:rPr>
        <w:drawing>
          <wp:inline distT="0" distB="0" distL="0" distR="0">
            <wp:extent cx="2909901" cy="2218413"/>
            <wp:effectExtent l="19050" t="0" r="4749" b="0"/>
            <wp:docPr id="1"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24057" cy="5248275"/>
                      <a:chOff x="327025" y="1143000"/>
                      <a:chExt cx="8324057" cy="5248275"/>
                    </a:xfrm>
                  </a:grpSpPr>
                  <a:pic>
                    <a:nvPicPr>
                      <a:cNvPr id="75813" name="Picture 37"/>
                      <a:cNvPicPr>
                        <a:picLocks noChangeAspect="1" noChangeArrowheads="1"/>
                      </a:cNvPicPr>
                    </a:nvPicPr>
                    <a:blipFill>
                      <a:blip r:embed="rId9"/>
                      <a:srcRect/>
                      <a:stretch>
                        <a:fillRect/>
                      </a:stretch>
                    </a:blipFill>
                    <a:spPr bwMode="auto">
                      <a:xfrm>
                        <a:off x="5083175" y="1198563"/>
                        <a:ext cx="1927225" cy="4875212"/>
                      </a:xfrm>
                      <a:prstGeom prst="rect">
                        <a:avLst/>
                      </a:prstGeom>
                      <a:noFill/>
                      <a:ln w="28575" cap="flat" cmpd="sng">
                        <a:solidFill>
                          <a:schemeClr val="tx1"/>
                        </a:solidFill>
                        <a:prstDash val="solid"/>
                        <a:miter lim="800000"/>
                        <a:headEnd type="none" w="med" len="med"/>
                        <a:tailEnd type="none" w="med" len="med"/>
                      </a:ln>
                      <a:effectLst>
                        <a:prstShdw prst="shdw17" dist="17961" dir="2700000">
                          <a:schemeClr val="accent1">
                            <a:gamma/>
                            <a:shade val="60000"/>
                            <a:invGamma/>
                          </a:schemeClr>
                        </a:prstShdw>
                      </a:effectLst>
                    </a:spPr>
                  </a:pic>
                  <a:pic>
                    <a:nvPicPr>
                      <a:cNvPr id="47107" name="Picture 6"/>
                      <a:cNvPicPr>
                        <a:picLocks noChangeAspect="1" noChangeArrowheads="1"/>
                      </a:cNvPicPr>
                    </a:nvPicPr>
                    <a:blipFill>
                      <a:blip r:embed="rId10">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rcRect/>
                      <a:stretch>
                        <a:fillRect/>
                      </a:stretch>
                    </a:blipFill>
                    <a:spPr bwMode="auto">
                      <a:xfrm>
                        <a:off x="327025" y="1241425"/>
                        <a:ext cx="4605338" cy="2459038"/>
                      </a:xfrm>
                      <a:prstGeom prst="rect">
                        <a:avLst/>
                      </a:prstGeom>
                      <a:noFill/>
                      <a:ln w="38100" cmpd="thickThin">
                        <a:solidFill>
                          <a:schemeClr val="tx1"/>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solidFill>
                              <a:srgbClr val="FFFFFF"/>
                            </a:solidFill>
                          </a14:hiddenFill>
                        </a:ext>
                      </a:extLst>
                    </a:spPr>
                  </a:pic>
                  <a:grpSp>
                    <a:nvGrpSpPr>
                      <a:cNvPr id="47111" name="Group 12"/>
                      <a:cNvGrpSpPr>
                        <a:grpSpLocks/>
                      </a:cNvGrpSpPr>
                    </a:nvGrpSpPr>
                    <a:grpSpPr bwMode="auto">
                      <a:xfrm>
                        <a:off x="327025" y="3798888"/>
                        <a:ext cx="4603750" cy="2319337"/>
                        <a:chOff x="480" y="1136"/>
                        <a:chExt cx="4944" cy="3090"/>
                      </a:xfrm>
                    </a:grpSpPr>
                    <a:pic>
                      <a:nvPicPr>
                        <a:cNvPr id="47116" name="Picture 109" descr="D:\Lisa\GC,Lise,FTBE,25.09.08\DSC_0233.JPG"/>
                        <a:cNvPicPr>
                          <a:picLocks noChangeAspect="1" noChangeArrowheads="1"/>
                        </a:cNvPicPr>
                      </a:nvPicPr>
                      <a:blipFill>
                        <a:blip r:embed="rId11" r:link="rId12">
                          <a:lum bright="-30000" contrast="60000"/>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rcRect/>
                        <a:stretch>
                          <a:fillRect/>
                        </a:stretch>
                      </a:blipFill>
                      <a:spPr bwMode="auto">
                        <a:xfrm>
                          <a:off x="480" y="1136"/>
                          <a:ext cx="4944" cy="2381"/>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pic>
                    <a:sp>
                      <a:nvSpPr>
                        <a:cNvPr id="47117" name="Text Box 116"/>
                        <a:cNvSpPr txBox="1">
                          <a:spLocks noChangeArrowheads="1"/>
                        </a:cNvSpPr>
                      </a:nvSpPr>
                      <a:spPr bwMode="auto">
                        <a:xfrm>
                          <a:off x="480" y="3106"/>
                          <a:ext cx="4944" cy="1120"/>
                        </a:xfrm>
                        <a:prstGeom prst="rect">
                          <a:avLst/>
                        </a:prstGeom>
                        <a:solidFill>
                          <a:schemeClr val="tx1"/>
                        </a:solidFill>
                        <a:ln>
                          <a:noFill/>
                        </a:ln>
                        <a:extLst>
                          <a:ext uri="{91240B29-F687-4F45-9708-019B960494DF}">
                            <a14:hiddenLine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w="9525">
                              <a:solidFill>
                                <a:srgbClr val="000000"/>
                              </a:solidFill>
                              <a:miter lim="800000"/>
                              <a:headEnd/>
                              <a:tailEnd/>
                            </a14:hiddenLine>
                          </a:ext>
                        </a:extLst>
                      </a:spPr>
                      <a:txSp>
                        <a:txBody>
                          <a:bodyPr lIns="344857" tIns="172428" rIns="344857" bIns="172428">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eaLnBrk="1" fontAlgn="base" hangingPunct="1">
                              <a:spcBef>
                                <a:spcPct val="0"/>
                              </a:spcBef>
                              <a:spcAft>
                                <a:spcPct val="0"/>
                              </a:spcAft>
                              <a:buFontTx/>
                              <a:buNone/>
                            </a:pPr>
                            <a:r>
                              <a:rPr lang="en-US" altLang="en-US" sz="1600" b="1" smtClean="0">
                                <a:solidFill>
                                  <a:prstClr val="white"/>
                                </a:solidFill>
                                <a:latin typeface="Times New Roman" pitchFamily="18" charset="0"/>
                              </a:rPr>
                              <a:t>N.C strips showing different intensities of </a:t>
                            </a:r>
                          </a:p>
                          <a:p>
                            <a:pPr algn="just" eaLnBrk="1" fontAlgn="base" hangingPunct="1">
                              <a:spcBef>
                                <a:spcPct val="0"/>
                              </a:spcBef>
                              <a:spcAft>
                                <a:spcPct val="0"/>
                              </a:spcAft>
                              <a:buFontTx/>
                              <a:buNone/>
                            </a:pPr>
                            <a:r>
                              <a:rPr lang="en-US" altLang="en-US" sz="1600" b="1" smtClean="0">
                                <a:solidFill>
                                  <a:prstClr val="white"/>
                                </a:solidFill>
                                <a:latin typeface="Times New Roman" pitchFamily="18" charset="0"/>
                              </a:rPr>
                              <a:t>       color depending on the conc. of toxin.</a:t>
                            </a:r>
                          </a:p>
                        </a:txBody>
                        <a:useSpRect/>
                      </a:txSp>
                    </a:sp>
                  </a:grpSp>
                  <a:sp>
                    <a:nvSpPr>
                      <a:cNvPr id="10" name="Left Arrow 9"/>
                      <a:cNvSpPr/>
                    </a:nvSpPr>
                    <a:spPr>
                      <a:xfrm>
                        <a:off x="468313" y="6161088"/>
                        <a:ext cx="4125912" cy="230187"/>
                      </a:xfrm>
                      <a:prstGeom prst="leftArrow">
                        <a:avLst/>
                      </a:prstGeom>
                    </a:spPr>
                    <a:txSp>
                      <a:txBody>
                        <a:bodyPr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fontAlgn="base">
                            <a:spcBef>
                              <a:spcPct val="0"/>
                            </a:spcBef>
                            <a:spcAft>
                              <a:spcPct val="0"/>
                            </a:spcAft>
                            <a:defRPr/>
                          </a:pPr>
                          <a:endParaRPr lang="en-US" sz="2800" b="1">
                            <a:solidFill>
                              <a:prstClr val="white"/>
                            </a:solidFill>
                          </a:endParaRPr>
                        </a:p>
                      </a:txBody>
                      <a:useSpRect/>
                    </a:txSp>
                    <a:style>
                      <a:lnRef idx="2">
                        <a:schemeClr val="accent1">
                          <a:shade val="50000"/>
                        </a:schemeClr>
                      </a:lnRef>
                      <a:fillRef idx="1">
                        <a:schemeClr val="accent1"/>
                      </a:fillRef>
                      <a:effectRef idx="0">
                        <a:schemeClr val="accent1"/>
                      </a:effectRef>
                      <a:fontRef idx="minor">
                        <a:schemeClr val="lt1"/>
                      </a:fontRef>
                    </a:style>
                  </a:sp>
                  <a:pic>
                    <a:nvPicPr>
                      <a:cNvPr id="12" name="Picture 6"/>
                      <a:cNvPicPr>
                        <a:picLocks noChangeAspect="1" noChangeArrowheads="1"/>
                      </a:cNvPicPr>
                    </a:nvPicPr>
                    <a:blipFill>
                      <a:blip r:embed="rId13">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rcRect/>
                      <a:stretch>
                        <a:fillRect/>
                      </a:stretch>
                    </a:blipFill>
                    <a:spPr bwMode="auto">
                      <a:xfrm>
                        <a:off x="7086600" y="1143000"/>
                        <a:ext cx="1564482" cy="2493962"/>
                      </a:xfrm>
                      <a:prstGeom prst="rect">
                        <a:avLst/>
                      </a:prstGeom>
                      <a:noFill/>
                      <a:ln w="19050">
                        <a:solidFill>
                          <a:schemeClr val="tx1"/>
                        </a:solidFill>
                        <a:miter lim="800000"/>
                        <a:headEnd/>
                        <a:tailEnd/>
                      </a:ln>
                      <a:extLst>
                        <a:ext uri="{909E8E84-426E-40DD-AFC4-6F175D3DCCD1}">
                          <a14:hiddenFill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a:solidFill>
                              <a:srgbClr val="FFFFFF"/>
                            </a:solidFill>
                          </a14:hiddenFill>
                        </a:ext>
                      </a:extLst>
                    </a:spPr>
                  </a:pic>
                  <a:pic>
                    <a:nvPicPr>
                      <a:cNvPr id="13" name="Picture 6"/>
                      <a:cNvPicPr>
                        <a:picLocks noChangeAspect="1" noChangeArrowheads="1"/>
                      </a:cNvPicPr>
                    </a:nvPicPr>
                    <a:blipFill>
                      <a:blip r:embed="rId14"/>
                      <a:srcRect/>
                      <a:stretch>
                        <a:fillRect/>
                      </a:stretch>
                    </a:blipFill>
                    <a:spPr bwMode="auto">
                      <a:xfrm>
                        <a:off x="7315200" y="4038600"/>
                        <a:ext cx="598148" cy="1465263"/>
                      </a:xfrm>
                      <a:prstGeom prst="rect">
                        <a:avLst/>
                      </a:prstGeom>
                      <a:noFill/>
                      <a:ln w="9525" cap="flat" cmpd="sng">
                        <a:solidFill>
                          <a:schemeClr val="tx1"/>
                        </a:solidFill>
                        <a:prstDash val="solid"/>
                        <a:miter lim="800000"/>
                        <a:headEnd type="none" w="med" len="med"/>
                        <a:tailEnd type="none" w="med" len="med"/>
                      </a:ln>
                      <a:effectLst>
                        <a:prstShdw prst="shdw17" dist="17961" dir="2700000">
                          <a:schemeClr val="accent1">
                            <a:gamma/>
                            <a:shade val="60000"/>
                            <a:invGamma/>
                          </a:schemeClr>
                        </a:prstShdw>
                      </a:effectLst>
                    </a:spPr>
                  </a:pic>
                </lc:lockedCanvas>
              </a:graphicData>
            </a:graphic>
          </wp:inline>
        </w:drawing>
      </w:r>
    </w:p>
    <w:p w:rsidR="002E0B7D" w:rsidRPr="000A6A03" w:rsidRDefault="002E0B7D" w:rsidP="002E0B7D">
      <w:pPr>
        <w:pStyle w:val="Heading3"/>
        <w:spacing w:before="74" w:line="276" w:lineRule="auto"/>
      </w:pPr>
      <w:r w:rsidRPr="00DA44EE">
        <w:t>Figure 2.</w:t>
      </w:r>
      <w:r w:rsidRPr="000A6A03">
        <w:rPr>
          <w:rFonts w:ascii="Calibri" w:eastAsia="+mn-ea" w:hAnsi="Calibri" w:cs="Calibri"/>
          <w:b w:val="0"/>
          <w:bCs w:val="0"/>
          <w:color w:val="000000"/>
          <w:kern w:val="24"/>
          <w:sz w:val="130"/>
          <w:szCs w:val="130"/>
        </w:rPr>
        <w:t xml:space="preserve"> </w:t>
      </w:r>
      <w:r w:rsidRPr="000A6A03">
        <w:t xml:space="preserve">Schematic representation of dipstick based </w:t>
      </w:r>
      <w:r w:rsidR="0020164C">
        <w:t>M</w:t>
      </w:r>
      <w:r w:rsidRPr="000A6A03">
        <w:t xml:space="preserve">EC  assay for detection of Aflatoxin B1 </w:t>
      </w:r>
    </w:p>
    <w:p w:rsidR="002E0B7D" w:rsidRDefault="001C36A9" w:rsidP="002E0B7D">
      <w:pPr>
        <w:pStyle w:val="Heading3"/>
        <w:spacing w:before="74" w:line="276" w:lineRule="auto"/>
        <w:rPr>
          <w:b w:val="0"/>
        </w:rPr>
      </w:pPr>
      <w:r w:rsidRPr="001C36A9">
        <w:rPr>
          <w:rFonts w:ascii="Tw Cen MT"/>
          <w:b w:val="0"/>
          <w:noProof/>
          <w:sz w:val="22"/>
        </w:rPr>
        <w:pict>
          <v:shapetype id="_x0000_t202" coordsize="21600,21600" o:spt="202" path="m,l,21600r21600,l21600,xe">
            <v:stroke joinstyle="miter"/>
            <v:path gradientshapeok="t" o:connecttype="rect"/>
          </v:shapetype>
          <v:shape id="_x0000_s1034" type="#_x0000_t202" style="position:absolute;left:0;text-align:left;margin-left:13.6pt;margin-top:5.4pt;width:245.3pt;height:160.2pt;z-index:251661312;mso-wrap-style:none" fillcolor="#9bbb59 [3206]" strokecolor="#f2f2f2 [3041]" strokeweight="3pt">
            <v:shadow on="t" type="perspective" color="#4e6128 [1606]" opacity=".5" offset="1pt" offset2="-1pt"/>
            <v:textbox style="mso-next-textbox:#_x0000_s1034">
              <w:txbxContent>
                <w:p w:rsidR="002E0B7D" w:rsidRDefault="00B9647B" w:rsidP="002E0B7D">
                  <w:r w:rsidRPr="000A6A03">
                    <w:object w:dxaOrig="25893" w:dyaOrig="19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8pt;height:147pt" o:ole="">
                        <v:imagedata r:id="rId15" o:title=""/>
                      </v:shape>
                      <o:OLEObject Type="Embed" ProgID="PowerPoint.Slide.12" ShapeID="_x0000_i1026" DrawAspect="Content" ObjectID="_1556184087" r:id="rId16"/>
                    </w:object>
                  </w:r>
                </w:p>
              </w:txbxContent>
            </v:textbox>
          </v:shape>
        </w:pict>
      </w: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B9647B" w:rsidRDefault="00B9647B" w:rsidP="002E0B7D">
      <w:pPr>
        <w:tabs>
          <w:tab w:val="left" w:pos="384"/>
        </w:tabs>
        <w:spacing w:before="103" w:line="276" w:lineRule="auto"/>
        <w:ind w:left="99" w:right="138"/>
      </w:pPr>
    </w:p>
    <w:p w:rsidR="002F2D74" w:rsidRDefault="002F2D74" w:rsidP="002E0B7D">
      <w:pPr>
        <w:tabs>
          <w:tab w:val="left" w:pos="384"/>
        </w:tabs>
        <w:spacing w:before="103" w:line="276" w:lineRule="auto"/>
        <w:ind w:left="99" w:right="138"/>
      </w:pPr>
    </w:p>
    <w:p w:rsidR="002F2D74" w:rsidRDefault="002F2D74" w:rsidP="002E0B7D">
      <w:pPr>
        <w:tabs>
          <w:tab w:val="left" w:pos="384"/>
        </w:tabs>
        <w:spacing w:before="103" w:line="276" w:lineRule="auto"/>
        <w:ind w:left="99" w:right="138"/>
      </w:pPr>
    </w:p>
    <w:p w:rsidR="002E0B7D" w:rsidRDefault="002E0B7D" w:rsidP="002E0B7D">
      <w:pPr>
        <w:tabs>
          <w:tab w:val="left" w:pos="384"/>
        </w:tabs>
        <w:spacing w:before="103" w:line="276" w:lineRule="auto"/>
        <w:ind w:left="99" w:right="138"/>
        <w:rPr>
          <w:rFonts w:ascii="Arial"/>
          <w:b/>
          <w:sz w:val="20"/>
        </w:rPr>
      </w:pPr>
      <w:r>
        <w:rPr>
          <w:rFonts w:ascii="Arial"/>
          <w:b/>
          <w:color w:val="BF5A14"/>
          <w:sz w:val="20"/>
        </w:rPr>
        <w:lastRenderedPageBreak/>
        <w:t>Recent Publications (minimum 5)</w:t>
      </w:r>
    </w:p>
    <w:p w:rsidR="002E0B7D" w:rsidRPr="00156B5A" w:rsidRDefault="002E0B7D" w:rsidP="002E0B7D">
      <w:pPr>
        <w:pStyle w:val="ListParagraph"/>
        <w:numPr>
          <w:ilvl w:val="0"/>
          <w:numId w:val="1"/>
        </w:numPr>
        <w:spacing w:before="0" w:line="276" w:lineRule="auto"/>
        <w:ind w:right="28"/>
        <w:rPr>
          <w:rFonts w:ascii="Tw Cen MT" w:hAnsi="Tw Cen MT" w:cs="Arial"/>
          <w:color w:val="000000" w:themeColor="text1"/>
          <w:w w:val="119"/>
          <w:sz w:val="18"/>
          <w:szCs w:val="18"/>
        </w:rPr>
      </w:pPr>
      <w:r w:rsidRPr="00156B5A">
        <w:rPr>
          <w:rFonts w:ascii="Tw Cen MT" w:hAnsi="Tw Cen MT" w:cs="Arial"/>
          <w:color w:val="000000" w:themeColor="text1"/>
          <w:w w:val="119"/>
          <w:sz w:val="18"/>
          <w:szCs w:val="18"/>
          <w:lang w:val="en-IN"/>
        </w:rPr>
        <w:t xml:space="preserve">M.Lisa, R.S.Chouhan, A.C.Vinayaka, H.K.Manonmani, M.S.Thakur. 2009, </w:t>
      </w:r>
      <w:r w:rsidRPr="00156B5A">
        <w:rPr>
          <w:rFonts w:ascii="Tw Cen MT" w:hAnsi="Tw Cen MT" w:cs="Arial"/>
          <w:i/>
          <w:iCs/>
          <w:color w:val="000000" w:themeColor="text1"/>
          <w:w w:val="119"/>
          <w:sz w:val="18"/>
          <w:szCs w:val="18"/>
          <w:lang w:val="en-IN"/>
        </w:rPr>
        <w:t xml:space="preserve">Biosensors and Bioelectronics, </w:t>
      </w:r>
      <w:r w:rsidRPr="00156B5A">
        <w:rPr>
          <w:rFonts w:ascii="Tw Cen MT" w:hAnsi="Tw Cen MT" w:cs="Arial"/>
          <w:color w:val="000000" w:themeColor="text1"/>
          <w:w w:val="119"/>
          <w:sz w:val="18"/>
          <w:szCs w:val="18"/>
          <w:lang w:val="en-IN"/>
        </w:rPr>
        <w:t>25,224-227.</w:t>
      </w:r>
    </w:p>
    <w:p w:rsidR="002E0B7D" w:rsidRPr="00156B5A" w:rsidRDefault="002E0B7D" w:rsidP="002E0B7D">
      <w:pPr>
        <w:pStyle w:val="ListParagraph"/>
        <w:numPr>
          <w:ilvl w:val="0"/>
          <w:numId w:val="1"/>
        </w:numPr>
        <w:shd w:val="clear" w:color="auto" w:fill="FFFFFF"/>
        <w:spacing w:before="0" w:line="276" w:lineRule="auto"/>
        <w:ind w:right="28"/>
        <w:rPr>
          <w:rFonts w:ascii="Tw Cen MT" w:hAnsi="Tw Cen MT" w:cs="Arial"/>
          <w:color w:val="000000" w:themeColor="text1"/>
          <w:sz w:val="18"/>
          <w:szCs w:val="18"/>
        </w:rPr>
      </w:pPr>
      <w:r w:rsidRPr="00156B5A">
        <w:rPr>
          <w:rFonts w:ascii="Tw Cen MT" w:hAnsi="Tw Cen MT" w:cs="Arial"/>
          <w:color w:val="000000" w:themeColor="text1"/>
          <w:sz w:val="18"/>
          <w:szCs w:val="18"/>
        </w:rPr>
        <w:t xml:space="preserve">Akshath US, Selvakumar LS, Thakur MS, 2012,  </w:t>
      </w:r>
      <w:r w:rsidRPr="00156B5A">
        <w:rPr>
          <w:rFonts w:ascii="Tw Cen MT" w:hAnsi="Tw Cen MT" w:cs="Arial"/>
          <w:color w:val="000000" w:themeColor="text1"/>
          <w:sz w:val="18"/>
          <w:szCs w:val="18"/>
          <w:shd w:val="clear" w:color="auto" w:fill="FFFFFF"/>
        </w:rPr>
        <w:t>Detection of formaldehyde in food samples by enhanced chemiluminescence</w:t>
      </w:r>
      <w:r w:rsidRPr="00156B5A">
        <w:rPr>
          <w:rFonts w:ascii="Tw Cen MT" w:hAnsi="Tw Cen MT" w:cs="Arial"/>
          <w:color w:val="000000" w:themeColor="text1"/>
          <w:sz w:val="18"/>
          <w:szCs w:val="18"/>
        </w:rPr>
        <w:t>, Analytical Methods 4 (3), 699-704.</w:t>
      </w:r>
    </w:p>
    <w:p w:rsidR="002E0B7D" w:rsidRDefault="002E0B7D" w:rsidP="002E0B7D">
      <w:pPr>
        <w:pStyle w:val="ListParagraph"/>
        <w:numPr>
          <w:ilvl w:val="0"/>
          <w:numId w:val="1"/>
        </w:numPr>
        <w:shd w:val="clear" w:color="auto" w:fill="FFFFFF"/>
        <w:spacing w:before="0" w:line="276" w:lineRule="auto"/>
        <w:ind w:right="28"/>
        <w:rPr>
          <w:rFonts w:ascii="Tw Cen MT" w:hAnsi="Tw Cen MT" w:cs="Arial"/>
          <w:color w:val="000000" w:themeColor="text1"/>
          <w:sz w:val="18"/>
          <w:szCs w:val="18"/>
        </w:rPr>
      </w:pPr>
      <w:r w:rsidRPr="00156B5A">
        <w:rPr>
          <w:rFonts w:ascii="Tw Cen MT" w:hAnsi="Tw Cen MT" w:cs="Arial"/>
          <w:color w:val="000000" w:themeColor="text1"/>
          <w:sz w:val="18"/>
          <w:szCs w:val="18"/>
        </w:rPr>
        <w:t xml:space="preserve">Abhijith KS, Sharma R, Ranjan R, Thakur MS ( 2014), </w:t>
      </w:r>
      <w:r w:rsidRPr="00156B5A">
        <w:rPr>
          <w:rFonts w:ascii="Tw Cen MT" w:hAnsi="Tw Cen MT" w:cs="Arial"/>
          <w:color w:val="000000" w:themeColor="text1"/>
          <w:sz w:val="18"/>
          <w:szCs w:val="18"/>
          <w:shd w:val="clear" w:color="auto" w:fill="FFFFFF"/>
        </w:rPr>
        <w:t>Facile synthesis of gold–silver alloy nanoparticles for application in metal enhanced bioluminescence</w:t>
      </w:r>
      <w:r w:rsidRPr="00156B5A">
        <w:rPr>
          <w:rFonts w:ascii="Tw Cen MT" w:hAnsi="Tw Cen MT"/>
          <w:color w:val="000000" w:themeColor="text1"/>
          <w:sz w:val="18"/>
          <w:szCs w:val="18"/>
        </w:rPr>
        <w:t xml:space="preserve"> </w:t>
      </w:r>
      <w:r w:rsidRPr="00156B5A">
        <w:rPr>
          <w:rFonts w:ascii="Tw Cen MT" w:hAnsi="Tw Cen MT" w:cs="Arial"/>
          <w:color w:val="000000" w:themeColor="text1"/>
          <w:sz w:val="18"/>
          <w:szCs w:val="18"/>
        </w:rPr>
        <w:t>Photochemical &amp; Photobiological Sciences 13 (7), 986-991</w:t>
      </w:r>
    </w:p>
    <w:p w:rsidR="00A05A30" w:rsidRDefault="00A05A30" w:rsidP="00A05A30">
      <w:pPr>
        <w:shd w:val="clear" w:color="auto" w:fill="FFFFFF"/>
        <w:ind w:right="28"/>
        <w:rPr>
          <w:rFonts w:cs="Arial"/>
          <w:color w:val="000000" w:themeColor="text1"/>
          <w:sz w:val="18"/>
          <w:szCs w:val="18"/>
        </w:rPr>
      </w:pPr>
    </w:p>
    <w:p w:rsidR="00A05A30" w:rsidRPr="00156B5A" w:rsidRDefault="00A05A30" w:rsidP="00A05A30">
      <w:pPr>
        <w:pStyle w:val="ListParagraph"/>
        <w:numPr>
          <w:ilvl w:val="0"/>
          <w:numId w:val="1"/>
        </w:numPr>
        <w:shd w:val="clear" w:color="auto" w:fill="FFFFFF"/>
        <w:spacing w:before="0" w:line="276" w:lineRule="auto"/>
        <w:ind w:left="284" w:right="28"/>
        <w:rPr>
          <w:rFonts w:ascii="Tw Cen MT" w:hAnsi="Tw Cen MT" w:cs="Arial"/>
          <w:color w:val="000000" w:themeColor="text1"/>
          <w:sz w:val="18"/>
          <w:szCs w:val="18"/>
        </w:rPr>
      </w:pPr>
      <w:r w:rsidRPr="00156B5A">
        <w:rPr>
          <w:rFonts w:ascii="Tw Cen MT" w:hAnsi="Tw Cen MT" w:cs="Arial"/>
          <w:color w:val="000000" w:themeColor="text1"/>
          <w:sz w:val="18"/>
          <w:szCs w:val="18"/>
        </w:rPr>
        <w:lastRenderedPageBreak/>
        <w:t xml:space="preserve">Padmaja RJ, Akshath US, Abhijith KS, Halami PM, Thakur MS, 2014, </w:t>
      </w:r>
      <w:r w:rsidRPr="00156B5A">
        <w:rPr>
          <w:rFonts w:ascii="Tw Cen MT" w:hAnsi="Tw Cen MT" w:cs="Arial"/>
          <w:color w:val="000000" w:themeColor="text1"/>
          <w:sz w:val="18"/>
          <w:szCs w:val="18"/>
          <w:shd w:val="clear" w:color="auto" w:fill="FFFFFF"/>
        </w:rPr>
        <w:t>Gold nanoparticle-based immunodetection of Staphylococcus aureus leukotoxin M/F</w:t>
      </w:r>
      <w:r w:rsidRPr="00156B5A">
        <w:rPr>
          <w:rFonts w:ascii="Arial" w:hAnsi="Arial" w:cs="Arial"/>
          <w:color w:val="000000" w:themeColor="text1"/>
          <w:sz w:val="18"/>
          <w:szCs w:val="18"/>
          <w:shd w:val="clear" w:color="auto" w:fill="FFFFFF"/>
        </w:rPr>
        <w:t>′</w:t>
      </w:r>
      <w:r w:rsidRPr="00156B5A">
        <w:rPr>
          <w:rFonts w:ascii="Tw Cen MT" w:hAnsi="Tw Cen MT" w:cs="Arial"/>
          <w:color w:val="000000" w:themeColor="text1"/>
          <w:sz w:val="18"/>
          <w:szCs w:val="18"/>
          <w:shd w:val="clear" w:color="auto" w:fill="FFFFFF"/>
        </w:rPr>
        <w:t xml:space="preserve">-PV in subclinical samples of bovine mastitis, </w:t>
      </w:r>
      <w:r w:rsidRPr="00156B5A">
        <w:rPr>
          <w:rFonts w:ascii="Tw Cen MT" w:hAnsi="Tw Cen MT" w:cs="Arial"/>
          <w:color w:val="000000" w:themeColor="text1"/>
          <w:sz w:val="18"/>
          <w:szCs w:val="18"/>
        </w:rPr>
        <w:t>Analytical Methods 6 (14), 5214-5220</w:t>
      </w:r>
    </w:p>
    <w:p w:rsidR="00A05A30" w:rsidRPr="00156B5A" w:rsidRDefault="00A05A30" w:rsidP="00A05A30">
      <w:pPr>
        <w:pStyle w:val="ListParagraph"/>
        <w:numPr>
          <w:ilvl w:val="0"/>
          <w:numId w:val="1"/>
        </w:numPr>
        <w:shd w:val="clear" w:color="auto" w:fill="FFFFFF"/>
        <w:spacing w:line="276" w:lineRule="auto"/>
        <w:ind w:left="284" w:right="28"/>
        <w:rPr>
          <w:rFonts w:ascii="Tw Cen MT" w:hAnsi="Tw Cen MT" w:cs="Arial"/>
          <w:color w:val="000000" w:themeColor="text1"/>
          <w:sz w:val="18"/>
          <w:szCs w:val="18"/>
        </w:rPr>
      </w:pPr>
      <w:r w:rsidRPr="00156B5A">
        <w:rPr>
          <w:rFonts w:ascii="Tw Cen MT" w:hAnsi="Tw Cen MT" w:cs="Arial"/>
          <w:color w:val="000000" w:themeColor="text1"/>
          <w:sz w:val="18"/>
          <w:szCs w:val="18"/>
        </w:rPr>
        <w:t xml:space="preserve"> Vinayaka, AC, Thakur MS, (2013)</w:t>
      </w:r>
      <w:r w:rsidRPr="00156B5A">
        <w:rPr>
          <w:rFonts w:ascii="Tw Cen MT" w:hAnsi="Tw Cen MT" w:cs="Arial"/>
          <w:color w:val="000000" w:themeColor="text1"/>
          <w:sz w:val="18"/>
          <w:szCs w:val="18"/>
          <w:shd w:val="clear" w:color="auto" w:fill="FFFFFF"/>
        </w:rPr>
        <w:t xml:space="preserve">Focus on quantum dots as potential fluorescent probes for monitoring food toxicants and foodborne pathogens. </w:t>
      </w:r>
      <w:r w:rsidRPr="00156B5A">
        <w:rPr>
          <w:rFonts w:ascii="Tw Cen MT" w:hAnsi="Tw Cen MT" w:cs="Arial"/>
          <w:color w:val="000000" w:themeColor="text1"/>
          <w:sz w:val="18"/>
          <w:szCs w:val="18"/>
        </w:rPr>
        <w:t>Analytical and Bioanalytical chemistry 397 (4), 1445-1455</w:t>
      </w:r>
    </w:p>
    <w:p w:rsidR="00A05A30" w:rsidRDefault="00A05A30" w:rsidP="00A05A30">
      <w:pPr>
        <w:pStyle w:val="ListParagraph"/>
        <w:shd w:val="clear" w:color="auto" w:fill="FFFFFF"/>
        <w:spacing w:before="0" w:line="276" w:lineRule="auto"/>
        <w:ind w:right="28" w:firstLine="0"/>
        <w:rPr>
          <w:rFonts w:ascii="Tw Cen MT" w:hAnsi="Tw Cen MT" w:cs="Arial"/>
          <w:color w:val="000000" w:themeColor="text1"/>
          <w:sz w:val="18"/>
          <w:szCs w:val="18"/>
        </w:rPr>
      </w:pPr>
    </w:p>
    <w:p w:rsidR="002E0B7D" w:rsidRDefault="002E0B7D" w:rsidP="002E0B7D">
      <w:pPr>
        <w:shd w:val="clear" w:color="auto" w:fill="FFFFFF"/>
        <w:ind w:right="28"/>
        <w:rPr>
          <w:rFonts w:cs="Arial"/>
          <w:color w:val="000000" w:themeColor="text1"/>
          <w:sz w:val="18"/>
          <w:szCs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headerReference w:type="default" r:id="rId17"/>
          <w:footerReference w:type="default" r:id="rId1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C36A9">
      <w:pPr>
        <w:pStyle w:val="BodyText"/>
        <w:spacing w:line="40" w:lineRule="exact"/>
        <w:ind w:left="2202"/>
        <w:rPr>
          <w:rFonts w:ascii="Calibri"/>
          <w:sz w:val="4"/>
        </w:rPr>
      </w:pPr>
      <w:r w:rsidRPr="001C36A9">
        <w:rPr>
          <w:rFonts w:ascii="Calibri"/>
          <w:noProof/>
          <w:sz w:val="4"/>
          <w:lang w:val="en-IN" w:eastAsia="en-IN"/>
        </w:rPr>
      </w:r>
      <w:r w:rsidRPr="001C36A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05A30" w:rsidP="00404E5B">
      <w:pPr>
        <w:spacing w:before="92"/>
        <w:ind w:right="4234"/>
        <w:rPr>
          <w:rFonts w:ascii="Arial"/>
        </w:rPr>
      </w:pPr>
      <w:r w:rsidRPr="00A05A30">
        <w:rPr>
          <w:noProof/>
        </w:rPr>
        <w:drawing>
          <wp:inline distT="0" distB="0" distL="0" distR="0">
            <wp:extent cx="838835" cy="838835"/>
            <wp:effectExtent l="19050" t="0" r="0" b="0"/>
            <wp:docPr id="7" name="Picture 2" descr="Ed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t photo"/>
                    <pic:cNvPicPr>
                      <a:picLocks noChangeAspect="1" noChangeArrowheads="1"/>
                    </pic:cNvPicPr>
                  </pic:nvPicPr>
                  <pic:blipFill>
                    <a:blip r:embed="rId19" cstate="print"/>
                    <a:srcRect/>
                    <a:stretch>
                      <a:fillRect/>
                    </a:stretch>
                  </pic:blipFill>
                  <pic:spPr bwMode="auto">
                    <a:xfrm>
                      <a:off x="0" y="0"/>
                      <a:ext cx="838835" cy="83883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05A30" w:rsidRPr="00AC74C2" w:rsidRDefault="00A05A30" w:rsidP="00A05A30">
      <w:pPr>
        <w:shd w:val="clear" w:color="auto" w:fill="FFFFFF"/>
        <w:ind w:right="28"/>
        <w:rPr>
          <w:rFonts w:cs="Arial"/>
          <w:color w:val="000000" w:themeColor="text1"/>
          <w:sz w:val="18"/>
          <w:szCs w:val="18"/>
        </w:rPr>
      </w:pPr>
      <w:r w:rsidRPr="00AC74C2">
        <w:rPr>
          <w:rFonts w:cs="Arial"/>
          <w:color w:val="000000" w:themeColor="text1"/>
          <w:sz w:val="18"/>
          <w:szCs w:val="18"/>
        </w:rPr>
        <w:t>Biography</w:t>
      </w:r>
    </w:p>
    <w:p w:rsidR="00A05A30" w:rsidRPr="00AC74C2" w:rsidRDefault="00A05A30" w:rsidP="00A05A30">
      <w:pPr>
        <w:shd w:val="clear" w:color="auto" w:fill="FFFFFF"/>
        <w:ind w:right="28"/>
        <w:rPr>
          <w:rFonts w:cs="Arial"/>
          <w:color w:val="000000" w:themeColor="text1"/>
          <w:sz w:val="18"/>
          <w:szCs w:val="18"/>
        </w:rPr>
      </w:pPr>
      <w:r w:rsidRPr="00AC74C2">
        <w:rPr>
          <w:rFonts w:cs="Arial"/>
          <w:color w:val="000000" w:themeColor="text1"/>
          <w:sz w:val="18"/>
          <w:szCs w:val="18"/>
        </w:rPr>
        <w:t xml:space="preserve">Dr. M.S. Thakur has made significant contribution in biotechnology especially in biosensor research in India since past 35 years. He has published more than 120 outstanding research papers along with 15 patents. He has transferred his biosensor technologies to industries. As an expert in biosensor and biotechnology he has delivered  many invited  lectures, keynote addresses and chaired many  in national and international symposia/conferences.  </w:t>
      </w:r>
      <w:r w:rsidRPr="00AC74C2">
        <w:rPr>
          <w:rFonts w:cs="Arial"/>
          <w:bCs/>
          <w:color w:val="000000" w:themeColor="text1"/>
          <w:sz w:val="18"/>
          <w:szCs w:val="18"/>
        </w:rPr>
        <w:t>Dr. M. S. Thakur has made fundamental discoveries in bio-inspired biomolecular electronics and  biophotonics,  interfacing the biochemical events with opto-electronic systems making bioassay simple, specific, rapid and ultrasensitive</w:t>
      </w:r>
      <w:r w:rsidRPr="00AC74C2">
        <w:rPr>
          <w:rFonts w:cs="Arial"/>
          <w:color w:val="000000" w:themeColor="text1"/>
          <w:sz w:val="18"/>
          <w:szCs w:val="18"/>
        </w:rPr>
        <w:t xml:space="preserve"> which is very unique contribution. </w:t>
      </w:r>
      <w:r w:rsidRPr="00AC74C2">
        <w:rPr>
          <w:rFonts w:cs="Arial"/>
          <w:bCs/>
          <w:color w:val="000000" w:themeColor="text1"/>
          <w:sz w:val="18"/>
          <w:szCs w:val="18"/>
        </w:rPr>
        <w:t xml:space="preserve">He has made appreciable contribution in  understanding the opto-physical properties of nanoparticles and biomolecules using  Fluorescence Resonance Energy Transfer and Bioluminescence Resonance Energy Transfer  (BRET/FRET) phenomenon. </w:t>
      </w:r>
      <w:r w:rsidRPr="00AC74C2">
        <w:rPr>
          <w:rFonts w:cs="Arial"/>
          <w:color w:val="000000" w:themeColor="text1"/>
          <w:sz w:val="18"/>
          <w:szCs w:val="18"/>
        </w:rPr>
        <w:t xml:space="preserve">He has solved the intricate problems associated with ultrasensitive detection of toxins, pesticides and vitamins using biophotonics and nanoparticles. </w:t>
      </w:r>
    </w:p>
    <w:p w:rsidR="00A05A30" w:rsidRPr="00AC74C2" w:rsidRDefault="00A05A30" w:rsidP="00A05A30">
      <w:pPr>
        <w:shd w:val="clear" w:color="auto" w:fill="FFFFFF"/>
        <w:ind w:right="28"/>
        <w:rPr>
          <w:rFonts w:cs="Arial"/>
          <w:color w:val="000000" w:themeColor="text1"/>
          <w:sz w:val="18"/>
          <w:szCs w:val="18"/>
        </w:rPr>
      </w:pPr>
      <w:r w:rsidRPr="00AC74C2">
        <w:rPr>
          <w:rFonts w:cs="Arial"/>
          <w:color w:val="000000" w:themeColor="text1"/>
          <w:sz w:val="18"/>
          <w:szCs w:val="18"/>
        </w:rPr>
        <w:t xml:space="preserve">Email: msthakur@yahoo.com </w:t>
      </w:r>
    </w:p>
    <w:p w:rsidR="00AE3E37" w:rsidRDefault="001C36A9">
      <w:pPr>
        <w:pStyle w:val="BodyText"/>
        <w:spacing w:before="2"/>
        <w:rPr>
          <w:rFonts w:ascii="Arial"/>
          <w:sz w:val="19"/>
        </w:rPr>
      </w:pPr>
      <w:r w:rsidRPr="001C36A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33E" w:rsidRDefault="00D8533E">
      <w:r>
        <w:separator/>
      </w:r>
    </w:p>
  </w:endnote>
  <w:endnote w:type="continuationSeparator" w:id="1">
    <w:p w:rsidR="00D8533E" w:rsidRDefault="00D853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7D" w:rsidRDefault="001C36A9">
    <w:pPr>
      <w:pStyle w:val="BodyText"/>
      <w:spacing w:line="14" w:lineRule="auto"/>
      <w:rPr>
        <w:sz w:val="20"/>
      </w:rPr>
    </w:pPr>
    <w:r w:rsidRPr="001C36A9">
      <w:rPr>
        <w:noProof/>
        <w:lang w:val="en-IN" w:eastAsia="en-IN"/>
      </w:rPr>
      <w:pict>
        <v:shapetype id="_x0000_t202" coordsize="21600,21600" o:spt="202" path="m,l,21600r21600,l21600,xe">
          <v:stroke joinstyle="miter"/>
          <v:path gradientshapeok="t" o:connecttype="rect"/>
        </v:shapetype>
        <v:shape id="_x0000_s4113" type="#_x0000_t202" style="position:absolute;margin-left:35pt;margin-top:798.8pt;width:168.2pt;height:19.6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_x0000_s4113" inset="0,0,0,0">
            <w:txbxContent>
              <w:p w:rsidR="002E0B7D" w:rsidRPr="005B3A56" w:rsidRDefault="002E0B7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E0B7D" w:rsidRPr="005B3A56" w:rsidRDefault="002E0B7D">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C36A9">
      <w:rPr>
        <w:noProof/>
        <w:lang w:val="en-IN" w:eastAsia="en-IN"/>
      </w:rPr>
      <w:pict>
        <v:shape id="_x0000_s4114" type="#_x0000_t202" style="position:absolute;margin-left:252.1pt;margin-top:799.05pt;width:91.9pt;height:24.95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_x0000_s4114" inset="0,0,0,0">
            <w:txbxContent>
              <w:p w:rsidR="002E0B7D" w:rsidRPr="005B3A56" w:rsidRDefault="002E0B7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E0B7D" w:rsidRPr="005B3A56" w:rsidRDefault="002E0B7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36A9">
      <w:rPr>
        <w:noProof/>
        <w:lang w:val="en-IN" w:eastAsia="en-IN"/>
      </w:rPr>
      <w:pict>
        <v:shape id="_x0000_s4115" type="#_x0000_t202" style="position:absolute;margin-left:468.9pt;margin-top:798.8pt;width:91.4pt;height:26.05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_x0000_s4115" inset="0,0,0,0">
            <w:txbxContent>
              <w:p w:rsidR="002E0B7D" w:rsidRPr="005B3A56" w:rsidRDefault="002E0B7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2E0B7D" w:rsidRPr="005B3A56" w:rsidRDefault="002E0B7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36A9">
    <w:pPr>
      <w:pStyle w:val="BodyText"/>
      <w:spacing w:line="14" w:lineRule="auto"/>
      <w:rPr>
        <w:sz w:val="20"/>
      </w:rPr>
    </w:pPr>
    <w:r w:rsidRPr="001C36A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C36A9">
      <w:rPr>
        <w:noProof/>
        <w:lang w:val="en-IN" w:eastAsia="en-IN"/>
      </w:rPr>
      <w:pict>
        <v:shape id="Text Box 2" o:spid="_x0000_s4098" type="#_x0000_t202" style="position:absolute;margin-left:252.1pt;margin-top:799.05pt;width:91.9pt;height:24.95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36A9">
      <w:rPr>
        <w:noProof/>
        <w:lang w:val="en-IN" w:eastAsia="en-IN"/>
      </w:rPr>
      <w:pict>
        <v:shape id="Text Box 1" o:spid="_x0000_s4097" type="#_x0000_t202" style="position:absolute;margin-left:468.9pt;margin-top:798.8pt;width:91.4pt;height:26.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33E" w:rsidRDefault="00D8533E">
      <w:r>
        <w:separator/>
      </w:r>
    </w:p>
  </w:footnote>
  <w:footnote w:type="continuationSeparator" w:id="1">
    <w:p w:rsidR="00D8533E" w:rsidRDefault="00D853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7D" w:rsidRDefault="001C36A9">
    <w:pPr>
      <w:pStyle w:val="BodyText"/>
      <w:spacing w:line="14" w:lineRule="auto"/>
      <w:rPr>
        <w:sz w:val="20"/>
      </w:rPr>
    </w:pPr>
    <w:r w:rsidRPr="001C36A9">
      <w:rPr>
        <w:noProof/>
        <w:lang w:val="en-IN" w:eastAsia="en-IN"/>
      </w:rPr>
      <w:pict>
        <v:shapetype id="_x0000_t202" coordsize="21600,21600" o:spt="202" path="m,l,21600r21600,l21600,xe">
          <v:stroke joinstyle="miter"/>
          <v:path gradientshapeok="t" o:connecttype="rect"/>
        </v:shapetype>
        <v:shape id="_x0000_s4112" type="#_x0000_t202" style="position:absolute;margin-left:35pt;margin-top:48.3pt;width:515.95pt;height:40.1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_x0000_s4112" inset="0,0,0,0">
            <w:txbxContent>
              <w:p w:rsidR="002E0B7D" w:rsidRPr="005B3A56" w:rsidRDefault="002E0B7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E0B7D" w:rsidRPr="005B3A56" w:rsidRDefault="002E0B7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36A9">
    <w:pPr>
      <w:pStyle w:val="BodyText"/>
      <w:spacing w:line="14" w:lineRule="auto"/>
      <w:rPr>
        <w:sz w:val="20"/>
      </w:rPr>
    </w:pPr>
    <w:r w:rsidRPr="001C36A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2516628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C36A9">
      <w:rPr>
        <w:noProof/>
        <w:lang w:val="en-IN" w:eastAsia="en-IN"/>
      </w:rPr>
      <w:pict>
        <v:shape id="Text Box 4" o:spid="_x0000_s4100" type="#_x0000_t202" style="position:absolute;margin-left:35pt;margin-top:48.3pt;width:515.95pt;height:40.1pt;z-index:-25166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5582B"/>
    <w:rsid w:val="000E2911"/>
    <w:rsid w:val="000F7854"/>
    <w:rsid w:val="001263DF"/>
    <w:rsid w:val="001971E9"/>
    <w:rsid w:val="001C36A9"/>
    <w:rsid w:val="0020164C"/>
    <w:rsid w:val="00292ED9"/>
    <w:rsid w:val="002E0B7D"/>
    <w:rsid w:val="002F2D74"/>
    <w:rsid w:val="003609C9"/>
    <w:rsid w:val="00362D35"/>
    <w:rsid w:val="00371E1F"/>
    <w:rsid w:val="00404E5B"/>
    <w:rsid w:val="00414F7B"/>
    <w:rsid w:val="00425BC3"/>
    <w:rsid w:val="004355DC"/>
    <w:rsid w:val="004749B4"/>
    <w:rsid w:val="00494130"/>
    <w:rsid w:val="004F3523"/>
    <w:rsid w:val="005931BE"/>
    <w:rsid w:val="005973B9"/>
    <w:rsid w:val="005B3A56"/>
    <w:rsid w:val="005E3664"/>
    <w:rsid w:val="006060CE"/>
    <w:rsid w:val="0063497F"/>
    <w:rsid w:val="00873DF0"/>
    <w:rsid w:val="008756E6"/>
    <w:rsid w:val="00877CDC"/>
    <w:rsid w:val="009B2D44"/>
    <w:rsid w:val="00A05A30"/>
    <w:rsid w:val="00A07E82"/>
    <w:rsid w:val="00A73465"/>
    <w:rsid w:val="00A9710C"/>
    <w:rsid w:val="00AB4426"/>
    <w:rsid w:val="00AE3E37"/>
    <w:rsid w:val="00B21A57"/>
    <w:rsid w:val="00B9647B"/>
    <w:rsid w:val="00C12B87"/>
    <w:rsid w:val="00C2372B"/>
    <w:rsid w:val="00C33602"/>
    <w:rsid w:val="00CD6F55"/>
    <w:rsid w:val="00CF5D11"/>
    <w:rsid w:val="00D25D54"/>
    <w:rsid w:val="00D8533E"/>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file:///D:\Lisa\GC,Lise,FTBE,25.09.08\DSC_0233.JPG"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package" Target="embeddings/Microsoft_Office_PowerPoint_Slide1.sldx"/><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image" Target="media/image2.pn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Document</cp:lastModifiedBy>
  <cp:revision>2</cp:revision>
  <dcterms:created xsi:type="dcterms:W3CDTF">2017-05-13T07:05:00Z</dcterms:created>
  <dcterms:modified xsi:type="dcterms:W3CDTF">2017-05-13T07:05:00Z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