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4FA" w:rsidRDefault="00F644FA" w:rsidP="00F644F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67A03">
        <w:rPr>
          <w:b/>
          <w:sz w:val="24"/>
          <w:szCs w:val="24"/>
          <w:lang w:val="en-US"/>
        </w:rPr>
        <w:t xml:space="preserve">Characterization of </w:t>
      </w:r>
      <w:proofErr w:type="spellStart"/>
      <w:r w:rsidRPr="00167A03">
        <w:rPr>
          <w:b/>
          <w:sz w:val="24"/>
          <w:szCs w:val="24"/>
          <w:lang w:val="en-US"/>
        </w:rPr>
        <w:t>micr</w:t>
      </w:r>
      <w:r>
        <w:rPr>
          <w:b/>
          <w:sz w:val="24"/>
          <w:szCs w:val="24"/>
          <w:lang w:val="en-US"/>
        </w:rPr>
        <w:t>osporidian</w:t>
      </w:r>
      <w:proofErr w:type="spellEnd"/>
      <w:r>
        <w:rPr>
          <w:b/>
          <w:sz w:val="24"/>
          <w:szCs w:val="24"/>
          <w:lang w:val="en-US"/>
        </w:rPr>
        <w:t xml:space="preserve"> spores in water</w:t>
      </w:r>
      <w:r w:rsidRPr="00167A03">
        <w:rPr>
          <w:b/>
          <w:sz w:val="24"/>
          <w:szCs w:val="24"/>
          <w:lang w:val="en-US"/>
        </w:rPr>
        <w:t xml:space="preserve"> in the central region (</w:t>
      </w:r>
      <w:proofErr w:type="spellStart"/>
      <w:proofErr w:type="gramStart"/>
      <w:r w:rsidRPr="00167A03">
        <w:rPr>
          <w:b/>
          <w:sz w:val="24"/>
          <w:szCs w:val="24"/>
          <w:lang w:val="en-US"/>
        </w:rPr>
        <w:t>cameroon</w:t>
      </w:r>
      <w:proofErr w:type="spellEnd"/>
      <w:proofErr w:type="gramEnd"/>
      <w:r w:rsidRPr="00167A03">
        <w:rPr>
          <w:b/>
          <w:sz w:val="24"/>
          <w:szCs w:val="24"/>
          <w:lang w:val="en-US"/>
        </w:rPr>
        <w:t>): size-shape relationship and species diversity,</w:t>
      </w:r>
      <w:r w:rsidRPr="00167A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Bio indicator of drinking water and health risk of </w:t>
      </w:r>
      <w:proofErr w:type="spellStart"/>
      <w:r w:rsidRPr="00167A03">
        <w:rPr>
          <w:rFonts w:ascii="Times New Roman" w:hAnsi="Times New Roman" w:cs="Times New Roman"/>
          <w:b/>
          <w:bCs/>
          <w:sz w:val="24"/>
          <w:szCs w:val="24"/>
          <w:lang w:val="en-US"/>
        </w:rPr>
        <w:t>umminocompromised</w:t>
      </w:r>
      <w:proofErr w:type="spellEnd"/>
      <w:r w:rsidRPr="00167A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patients</w:t>
      </w:r>
    </w:p>
    <w:p w:rsidR="00F644FA" w:rsidRPr="002D7967" w:rsidRDefault="00F644FA" w:rsidP="00F644F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Asi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Quiggle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Atud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1</w:t>
      </w: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*,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Ajeagah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Gideon Aghaindum</w:t>
      </w:r>
      <w:r w:rsidRPr="00D1610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Mboumbouo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Mama</w:t>
      </w:r>
      <w:r w:rsidRPr="00D1610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Okoa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Amougou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Thérèse</w:t>
      </w:r>
      <w:proofErr w:type="spellEnd"/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Nadège</w:t>
      </w:r>
      <w:r w:rsidRPr="00D1610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2D7967">
        <w:rPr>
          <w:lang w:val="en-US"/>
        </w:rPr>
        <w:t xml:space="preserve"> </w:t>
      </w:r>
      <w:proofErr w:type="spellStart"/>
      <w:r w:rsidRPr="002D7967">
        <w:rPr>
          <w:rFonts w:ascii="Times New Roman" w:hAnsi="Times New Roman" w:cs="Times New Roman"/>
          <w:b/>
          <w:bCs/>
          <w:sz w:val="24"/>
          <w:szCs w:val="24"/>
          <w:lang w:val="en-US"/>
        </w:rPr>
        <w:t>Moussima</w:t>
      </w:r>
      <w:proofErr w:type="spellEnd"/>
      <w:r w:rsidRPr="002D79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D7967">
        <w:rPr>
          <w:rFonts w:ascii="Times New Roman" w:hAnsi="Times New Roman" w:cs="Times New Roman"/>
          <w:b/>
          <w:bCs/>
          <w:sz w:val="24"/>
          <w:szCs w:val="24"/>
          <w:lang w:val="en-US"/>
        </w:rPr>
        <w:t>Yaka</w:t>
      </w:r>
      <w:proofErr w:type="spellEnd"/>
      <w:r w:rsidRPr="002D79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Diane Armelle</w:t>
      </w:r>
      <w:r w:rsidRPr="00700A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</w:p>
    <w:p w:rsidR="00F644FA" w:rsidRPr="00D16103" w:rsidRDefault="00F644FA" w:rsidP="00F644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16103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1 </w:t>
      </w:r>
      <w:r w:rsidRPr="00D161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University of </w:t>
      </w:r>
      <w:proofErr w:type="spellStart"/>
      <w:r w:rsidRPr="00D16103">
        <w:rPr>
          <w:rFonts w:ascii="Times New Roman" w:hAnsi="Times New Roman" w:cs="Times New Roman"/>
          <w:bCs/>
          <w:sz w:val="24"/>
          <w:szCs w:val="24"/>
          <w:lang w:val="en-US"/>
        </w:rPr>
        <w:t>Yaounde</w:t>
      </w:r>
      <w:proofErr w:type="spellEnd"/>
      <w:r w:rsidRPr="00D161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I, BP 812, Faculty of Sciences, Animals Biology and Physiology Department, Laboratory of Hydrobiology and Environment. </w:t>
      </w:r>
      <w:proofErr w:type="spellStart"/>
      <w:r w:rsidRPr="00D16103">
        <w:rPr>
          <w:rFonts w:ascii="Times New Roman" w:hAnsi="Times New Roman" w:cs="Times New Roman"/>
          <w:bCs/>
          <w:sz w:val="24"/>
          <w:szCs w:val="24"/>
          <w:lang w:val="en-US"/>
        </w:rPr>
        <w:t>Yaounde</w:t>
      </w:r>
      <w:proofErr w:type="spellEnd"/>
      <w:r w:rsidRPr="00D161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city in Cameroon</w:t>
      </w:r>
    </w:p>
    <w:p w:rsidR="00F644FA" w:rsidRPr="00D16103" w:rsidRDefault="00F644FA" w:rsidP="00F644F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* Corresponding Autho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asiatud@yahoo.com </w:t>
      </w:r>
    </w:p>
    <w:p w:rsidR="00F644FA" w:rsidRPr="00D16103" w:rsidRDefault="00F644FA" w:rsidP="00F644F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:rsidR="00F644FA" w:rsidRDefault="00F644FA" w:rsidP="00F6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Microsporidia</w:t>
      </w:r>
      <w:proofErr w:type="spellEnd"/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known as emerging and </w:t>
      </w:r>
      <w:r w:rsidRPr="007A2E9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opportunistic disease 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of HIV/AIDS patients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and can highly contribute to dump the rate of</w:t>
      </w:r>
      <w:r w:rsidRPr="00011212">
        <w:rPr>
          <w:lang w:val="en-US"/>
        </w:rPr>
        <w:t xml:space="preserve"> </w:t>
      </w:r>
      <w:r w:rsidRPr="00011212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lymphocytes CD4+</w:t>
      </w:r>
      <w:r w:rsidRPr="00011212"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with a high  p</w:t>
      </w:r>
      <w:r w:rsidRPr="00011212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revalence of </w:t>
      </w:r>
      <w:proofErr w:type="spellStart"/>
      <w:r w:rsidRPr="00011212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microsporidiosis</w:t>
      </w:r>
      <w:proofErr w:type="spellEnd"/>
      <w:r w:rsidRPr="00011212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among people with AIDS and chronic diarrhea is between 10 and 50%.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The main aim of this study is to evaluate qualitative and quantitative environmental forms of </w:t>
      </w:r>
      <w:proofErr w:type="spellStart"/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enteropathogenic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spores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conducted on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32 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samples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of groundwater in rural and sub-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surban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of the Center Region of Cameroon 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regularly used by the local population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 This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study was carried out from August 2018 to August 2019.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biology 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analysis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was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carried</w:t>
      </w:r>
      <w:r w:rsidR="00F861F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out in the </w:t>
      </w:r>
      <w:r w:rsidR="00F861FC"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laboratory </w:t>
      </w:r>
      <w:r w:rsidR="00F861F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of 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Hydrobiology and Environment of the University of Yaoundé I. Observation of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spores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was done with the Olympus CK2 inverted microscope at objective 100X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using</w:t>
      </w:r>
      <w:r w:rsidRPr="005C603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Weber strain.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Biological analysis indicated the present of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Enterocytozoon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bieneusi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Encephalitozoon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intestinalis,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Encephalitozoon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hellem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Encephalitozoon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cuniculi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Nosema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7158C">
        <w:rPr>
          <w:rFonts w:ascii="Times New Roman" w:hAnsi="Times New Roman" w:cs="Times New Roman"/>
          <w:sz w:val="24"/>
          <w:szCs w:val="24"/>
          <w:lang w:val="en-US"/>
        </w:rPr>
        <w:t>spp</w:t>
      </w:r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Vittaforma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corneae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Pleistophora</w:t>
      </w:r>
      <w:proofErr w:type="spellEnd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7158C">
        <w:rPr>
          <w:rFonts w:ascii="Times New Roman" w:hAnsi="Times New Roman" w:cs="Times New Roman"/>
          <w:sz w:val="24"/>
          <w:szCs w:val="24"/>
          <w:lang w:val="en-US"/>
        </w:rPr>
        <w:t>spp</w:t>
      </w:r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and </w:t>
      </w:r>
      <w:proofErr w:type="spellStart"/>
      <w:r w:rsidRPr="0077158C">
        <w:rPr>
          <w:rFonts w:ascii="Times New Roman" w:hAnsi="Times New Roman" w:cs="Times New Roman"/>
          <w:i/>
          <w:sz w:val="24"/>
          <w:szCs w:val="24"/>
          <w:lang w:val="en-US"/>
        </w:rPr>
        <w:t>Microsporidium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spp. in water. 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>This result shows the distribution of spores a</w:t>
      </w:r>
      <w:r>
        <w:rPr>
          <w:rFonts w:ascii="Times New Roman" w:hAnsi="Times New Roman" w:cs="Times New Roman"/>
          <w:sz w:val="24"/>
          <w:szCs w:val="24"/>
          <w:lang w:val="en-US"/>
        </w:rPr>
        <w:t>s a function of size and shape</w:t>
      </w:r>
      <w:r w:rsidR="000B23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>In terms of size; spore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 xml:space="preserve"> densities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>microspores (</w:t>
      </w:r>
      <w:r w:rsidRPr="009F62B2">
        <w:rPr>
          <w:rFonts w:ascii="Times New Roman" w:hAnsi="Times New Roman" w:cs="Times New Roman"/>
          <w:sz w:val="24"/>
          <w:szCs w:val="24"/>
          <w:lang w:val="en-US"/>
        </w:rPr>
        <w:t xml:space="preserve">[1 – 3,2] </w:t>
      </w:r>
      <w:proofErr w:type="spellStart"/>
      <w:r w:rsidRPr="009F62B2">
        <w:rPr>
          <w:rFonts w:ascii="Times New Roman" w:hAnsi="Times New Roman" w:cs="Times New Roman"/>
          <w:sz w:val="24"/>
          <w:szCs w:val="24"/>
          <w:lang w:val="en-US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F62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>were more abundant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(78.58%) than macrospores (</w:t>
      </w:r>
      <w:r w:rsidRPr="009F62B2">
        <w:rPr>
          <w:rFonts w:ascii="Times New Roman" w:hAnsi="Times New Roman" w:cs="Times New Roman"/>
          <w:sz w:val="24"/>
          <w:szCs w:val="24"/>
          <w:lang w:val="en-US"/>
        </w:rPr>
        <w:t>] 3,2-5,6]</w:t>
      </w:r>
      <w:r w:rsidRPr="009F62B2">
        <w:rPr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B23C0">
        <w:rPr>
          <w:rFonts w:ascii="Times New Roman" w:hAnsi="Times New Roman" w:cs="Times New Roman"/>
          <w:sz w:val="24"/>
          <w:szCs w:val="24"/>
          <w:lang w:val="en-US"/>
        </w:rPr>
        <w:t xml:space="preserve"> with an average variation of densities of 100 to 200 spores/L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861FC" w:rsidRPr="00F861FC">
        <w:rPr>
          <w:rFonts w:ascii="Times New Roman" w:hAnsi="Times New Roman" w:cs="Times New Roman"/>
          <w:sz w:val="24"/>
          <w:szCs w:val="24"/>
          <w:lang w:val="en-US"/>
        </w:rPr>
        <w:t xml:space="preserve">Densities of spores were also higher during the short rainy season showing the implication of rain in the distribution of environmental spores. Statistical analysis shows that abundance of </w:t>
      </w:r>
      <w:proofErr w:type="spellStart"/>
      <w:r w:rsidR="00F861FC" w:rsidRPr="00F861FC">
        <w:rPr>
          <w:rFonts w:ascii="Times New Roman" w:hAnsi="Times New Roman" w:cs="Times New Roman"/>
          <w:sz w:val="24"/>
          <w:szCs w:val="24"/>
          <w:lang w:val="en-US"/>
        </w:rPr>
        <w:t>microsporidian</w:t>
      </w:r>
      <w:proofErr w:type="spellEnd"/>
      <w:r w:rsidR="00F861FC" w:rsidRPr="00F861FC">
        <w:rPr>
          <w:rFonts w:ascii="Times New Roman" w:hAnsi="Times New Roman" w:cs="Times New Roman"/>
          <w:sz w:val="24"/>
          <w:szCs w:val="24"/>
          <w:lang w:val="en-US"/>
        </w:rPr>
        <w:t xml:space="preserve"> spores increases with organic matter, turbidity and suspended solid and decreases with the temp</w:t>
      </w:r>
      <w:r w:rsidR="000B23C0">
        <w:rPr>
          <w:rFonts w:ascii="Times New Roman" w:hAnsi="Times New Roman" w:cs="Times New Roman"/>
          <w:sz w:val="24"/>
          <w:szCs w:val="24"/>
          <w:lang w:val="en-US"/>
        </w:rPr>
        <w:t>erature and electrical conductivity</w:t>
      </w:r>
      <w:r w:rsidR="00F861FC">
        <w:rPr>
          <w:rFonts w:ascii="Times New Roman" w:hAnsi="Times New Roman" w:cs="Times New Roman"/>
          <w:sz w:val="24"/>
          <w:szCs w:val="24"/>
          <w:lang w:val="en-US"/>
        </w:rPr>
        <w:t xml:space="preserve"> (P &lt; 0.05)</w:t>
      </w:r>
      <w:r w:rsidRPr="00F31C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F0BFE">
        <w:rPr>
          <w:rFonts w:ascii="Times New Roman" w:hAnsi="Times New Roman" w:cs="Times New Roman"/>
          <w:sz w:val="24"/>
          <w:szCs w:val="24"/>
          <w:lang w:val="en-US"/>
        </w:rPr>
        <w:t xml:space="preserve">The diversity of </w:t>
      </w:r>
      <w:proofErr w:type="spellStart"/>
      <w:r w:rsidRPr="00FF0BFE">
        <w:rPr>
          <w:rFonts w:ascii="Times New Roman" w:hAnsi="Times New Roman" w:cs="Times New Roman"/>
          <w:sz w:val="24"/>
          <w:szCs w:val="24"/>
          <w:lang w:val="en-US"/>
        </w:rPr>
        <w:t>Microsporidia</w:t>
      </w:r>
      <w:proofErr w:type="spellEnd"/>
      <w:r w:rsidRPr="00FF0BFE">
        <w:rPr>
          <w:rFonts w:ascii="Times New Roman" w:hAnsi="Times New Roman" w:cs="Times New Roman"/>
          <w:sz w:val="24"/>
          <w:szCs w:val="24"/>
          <w:lang w:val="en-US"/>
        </w:rPr>
        <w:t xml:space="preserve"> and their abundance in water,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known as resistance </w:t>
      </w:r>
      <w:r w:rsidRPr="00FF0BFE">
        <w:rPr>
          <w:rFonts w:ascii="Times New Roman" w:hAnsi="Times New Roman" w:cs="Times New Roman"/>
          <w:sz w:val="24"/>
          <w:szCs w:val="24"/>
          <w:lang w:val="en-US"/>
        </w:rPr>
        <w:t>pathogenic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fecal or urinal origin</w:t>
      </w:r>
      <w:r w:rsidRPr="00FF0BFE">
        <w:rPr>
          <w:rFonts w:ascii="Times New Roman" w:hAnsi="Times New Roman" w:cs="Times New Roman"/>
          <w:sz w:val="24"/>
          <w:szCs w:val="24"/>
          <w:lang w:val="en-US"/>
        </w:rPr>
        <w:t xml:space="preserve">, can be used as a </w:t>
      </w:r>
      <w:proofErr w:type="spellStart"/>
      <w:r w:rsidRPr="00FF0BFE">
        <w:rPr>
          <w:rFonts w:ascii="Times New Roman" w:hAnsi="Times New Roman" w:cs="Times New Roman"/>
          <w:sz w:val="24"/>
          <w:szCs w:val="24"/>
          <w:lang w:val="en-US"/>
        </w:rPr>
        <w:t>bioindicator</w:t>
      </w:r>
      <w:proofErr w:type="spellEnd"/>
      <w:r w:rsidRPr="00FF0BFE">
        <w:rPr>
          <w:rFonts w:ascii="Times New Roman" w:hAnsi="Times New Roman" w:cs="Times New Roman"/>
          <w:sz w:val="24"/>
          <w:szCs w:val="24"/>
          <w:lang w:val="en-US"/>
        </w:rPr>
        <w:t xml:space="preserve"> to assess water quality and determine the risk associated with the consumption of untreated water.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View previous studies, their combination with </w:t>
      </w:r>
      <w:r w:rsidRPr="00FF0BFE">
        <w:rPr>
          <w:rFonts w:ascii="Times New Roman" w:hAnsi="Times New Roman" w:cs="Times New Roman"/>
          <w:sz w:val="24"/>
          <w:szCs w:val="24"/>
          <w:lang w:val="en-US"/>
        </w:rPr>
        <w:t>bacteria a</w:t>
      </w:r>
      <w:r>
        <w:rPr>
          <w:rFonts w:ascii="Times New Roman" w:hAnsi="Times New Roman" w:cs="Times New Roman"/>
          <w:sz w:val="24"/>
          <w:szCs w:val="24"/>
          <w:lang w:val="en-US"/>
        </w:rPr>
        <w:t>nd Protozoa</w:t>
      </w:r>
      <w:r w:rsidR="002D6A89">
        <w:rPr>
          <w:rFonts w:ascii="Times New Roman" w:hAnsi="Times New Roman" w:cs="Times New Roman"/>
          <w:sz w:val="24"/>
          <w:szCs w:val="24"/>
          <w:lang w:val="en-US"/>
        </w:rPr>
        <w:t xml:space="preserve"> could help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to better indicate the quality of drinking water.</w:t>
      </w:r>
    </w:p>
    <w:p w:rsidR="00F644FA" w:rsidRPr="00D16103" w:rsidRDefault="00F644FA" w:rsidP="00F6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6103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</w:t>
      </w:r>
      <w:r w:rsidRPr="00D1610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bioindicator</w:t>
      </w:r>
      <w:proofErr w:type="spellEnd"/>
      <w:r w:rsidRPr="00D1610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Micosporidia</w:t>
      </w:r>
      <w:proofErr w:type="spellEnd"/>
      <w:r w:rsidRPr="00D16103">
        <w:rPr>
          <w:rFonts w:ascii="Times New Roman" w:hAnsi="Times New Roman" w:cs="Times New Roman"/>
          <w:sz w:val="24"/>
          <w:szCs w:val="24"/>
          <w:lang w:val="en-US"/>
        </w:rPr>
        <w:t>,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risk</w:t>
      </w:r>
      <w:r w:rsidRPr="00D1610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immunocompromised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patients, water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20"/>
          <w:szCs w:val="20"/>
          <w:lang w:val="en-US"/>
        </w:rPr>
      </w:pPr>
      <w:r>
        <w:rPr>
          <w:rFonts w:ascii="MyriadPro-Bold" w:hAnsi="MyriadPro-Bold" w:cs="MyriadPro-Bold"/>
          <w:b/>
          <w:bCs/>
          <w:sz w:val="20"/>
          <w:szCs w:val="20"/>
          <w:lang w:val="en-US"/>
        </w:rPr>
        <w:t>Abstract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lastRenderedPageBreak/>
        <w:t>Microsporidian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spores are emerging opportunistic disease agents that are classified as worldwide diseases. In tropical areas,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diagnosis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of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microsporidiosis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is still neglected, while it may be associated with water and causes diarrhea. The evaluation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of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the distribution of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microsporidian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spores in groundwater of sub-urban areas of the Centre region of Cameroon has been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our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main objective. This study was conducted from August 2018 to August 2019.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Microsporidian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spores were identified by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r>
        <w:rPr>
          <w:rFonts w:ascii="STIX-Regular" w:hAnsi="STIX-Regular" w:cs="STIX-Regular"/>
          <w:sz w:val="20"/>
          <w:szCs w:val="20"/>
          <w:lang w:val="en-US"/>
        </w:rPr>
        <w:t>Weber’s stain and were observed using the Olympus CK2 inverted microscopy with immersion oil at objective 100 ×. The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Bold" w:hAnsi="STIX-Bold" w:cs="STIX-Bold"/>
          <w:b/>
          <w:bCs/>
          <w:sz w:val="20"/>
          <w:szCs w:val="20"/>
          <w:lang w:val="en-US"/>
        </w:rPr>
      </w:pP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abundance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of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microsporidian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spores according to species rang from classes is given as follow;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188 </w:t>
      </w:r>
      <w:r>
        <w:rPr>
          <w:rFonts w:ascii="STIX-Regular" w:hAnsi="STIX-Regular" w:cs="STIX-Regular"/>
          <w:sz w:val="20"/>
          <w:szCs w:val="20"/>
          <w:lang w:val="en-US"/>
        </w:rPr>
        <w:t>([2.5–4] × [1.8–3])</w:t>
      </w:r>
      <w:r>
        <w:rPr>
          <w:rFonts w:ascii="STIX-Regular" w:hAnsi="STIX-Regular" w:cs="STIX-Regular"/>
          <w:sz w:val="14"/>
          <w:szCs w:val="14"/>
          <w:lang w:val="en-US"/>
        </w:rPr>
        <w:t>1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,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>247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r>
        <w:rPr>
          <w:rFonts w:ascii="STIX-Regular" w:hAnsi="STIX-Regular" w:cs="STIX-Regular"/>
          <w:sz w:val="20"/>
          <w:szCs w:val="20"/>
          <w:lang w:val="en-US"/>
        </w:rPr>
        <w:t>([4.5–6] × [3–5]</w:t>
      </w: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)</w:t>
      </w:r>
      <w:r>
        <w:rPr>
          <w:rFonts w:ascii="STIX-Regular" w:hAnsi="STIX-Regular" w:cs="STIX-Regular"/>
          <w:sz w:val="14"/>
          <w:szCs w:val="14"/>
          <w:lang w:val="en-US"/>
        </w:rPr>
        <w:t>2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,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286 </w:t>
      </w:r>
      <w:r>
        <w:rPr>
          <w:rFonts w:ascii="STIX-Regular" w:hAnsi="STIX-Regular" w:cs="STIX-Regular"/>
          <w:sz w:val="20"/>
          <w:szCs w:val="20"/>
          <w:lang w:val="en-US"/>
        </w:rPr>
        <w:t>([5–6] × [4–5])</w:t>
      </w:r>
      <w:r>
        <w:rPr>
          <w:rFonts w:ascii="STIX-Regular" w:hAnsi="STIX-Regular" w:cs="STIX-Regular"/>
          <w:sz w:val="14"/>
          <w:szCs w:val="14"/>
          <w:lang w:val="en-US"/>
        </w:rPr>
        <w:t>3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,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190 </w:t>
      </w:r>
      <w:r>
        <w:rPr>
          <w:rFonts w:ascii="STIX-Regular" w:hAnsi="STIX-Regular" w:cs="STIX-Regular"/>
          <w:sz w:val="20"/>
          <w:szCs w:val="20"/>
          <w:lang w:val="en-US"/>
        </w:rPr>
        <w:t>([7–8] × [4–6])</w:t>
      </w:r>
      <w:r>
        <w:rPr>
          <w:rFonts w:ascii="STIX-Regular" w:hAnsi="STIX-Regular" w:cs="STIX-Regular"/>
          <w:sz w:val="14"/>
          <w:szCs w:val="14"/>
          <w:lang w:val="en-US"/>
        </w:rPr>
        <w:t>4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,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88 </w:t>
      </w:r>
      <w:r>
        <w:rPr>
          <w:rFonts w:ascii="STIX-Regular" w:hAnsi="STIX-Regular" w:cs="STIX-Regular"/>
          <w:sz w:val="20"/>
          <w:szCs w:val="20"/>
          <w:lang w:val="en-US"/>
        </w:rPr>
        <w:t>([8–9] × [5–7])</w:t>
      </w:r>
      <w:r>
        <w:rPr>
          <w:rFonts w:ascii="STIX-Regular" w:hAnsi="STIX-Regular" w:cs="STIX-Regular"/>
          <w:sz w:val="14"/>
          <w:szCs w:val="14"/>
          <w:lang w:val="en-US"/>
        </w:rPr>
        <w:t>5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,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44 </w:t>
      </w:r>
      <w:r>
        <w:rPr>
          <w:rFonts w:ascii="STIX-Regular" w:hAnsi="STIX-Regular" w:cs="STIX-Regular"/>
          <w:sz w:val="20"/>
          <w:szCs w:val="20"/>
          <w:lang w:val="en-US"/>
        </w:rPr>
        <w:t>([9–10] × [3–4])</w:t>
      </w:r>
      <w:r>
        <w:rPr>
          <w:rFonts w:ascii="STIX-Regular" w:hAnsi="STIX-Regular" w:cs="STIX-Regular"/>
          <w:sz w:val="14"/>
          <w:szCs w:val="14"/>
          <w:lang w:val="en-US"/>
        </w:rPr>
        <w:t>6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, </w:t>
      </w: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33 </w:t>
      </w:r>
      <w:r>
        <w:rPr>
          <w:rFonts w:ascii="STIX-Regular" w:hAnsi="STIX-Regular" w:cs="STIX-Regular"/>
          <w:sz w:val="20"/>
          <w:szCs w:val="20"/>
          <w:lang w:val="en-US"/>
        </w:rPr>
        <w:t>([8–12] × [5–7])</w:t>
      </w:r>
      <w:r>
        <w:rPr>
          <w:rFonts w:ascii="STIX-Regular" w:hAnsi="STIX-Regular" w:cs="STIX-Regular"/>
          <w:sz w:val="14"/>
          <w:szCs w:val="14"/>
          <w:lang w:val="en-US"/>
        </w:rPr>
        <w:t>7</w:t>
      </w:r>
      <w:r>
        <w:rPr>
          <w:rFonts w:ascii="STIX-Regular" w:hAnsi="STIX-Regular" w:cs="STIX-Regular"/>
          <w:sz w:val="20"/>
          <w:szCs w:val="20"/>
          <w:lang w:val="en-US"/>
        </w:rPr>
        <w:t>,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r>
        <w:rPr>
          <w:rFonts w:ascii="STIX-Bold" w:hAnsi="STIX-Bold" w:cs="STIX-Bold"/>
          <w:b/>
          <w:bCs/>
          <w:sz w:val="20"/>
          <w:szCs w:val="20"/>
          <w:lang w:val="en-US"/>
        </w:rPr>
        <w:t xml:space="preserve">120 </w:t>
      </w:r>
      <w:r>
        <w:rPr>
          <w:rFonts w:ascii="STIX-Regular" w:hAnsi="STIX-Regular" w:cs="STIX-Regular"/>
          <w:sz w:val="20"/>
          <w:szCs w:val="20"/>
          <w:lang w:val="en-US"/>
        </w:rPr>
        <w:t>([7–11] × [4–8]</w:t>
      </w: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)</w:t>
      </w:r>
      <w:r>
        <w:rPr>
          <w:rFonts w:ascii="STIX-Regular" w:hAnsi="STIX-Regular" w:cs="STIX-Regular"/>
          <w:sz w:val="14"/>
          <w:szCs w:val="14"/>
          <w:lang w:val="en-US"/>
        </w:rPr>
        <w:t>8</w:t>
      </w:r>
      <w:proofErr w:type="gramEnd"/>
      <w:r>
        <w:rPr>
          <w:rFonts w:ascii="STIX-Regular" w:hAnsi="STIX-Regular" w:cs="STIX-Regular"/>
          <w:sz w:val="14"/>
          <w:szCs w:val="14"/>
          <w:lang w:val="en-US"/>
        </w:rPr>
        <w:t xml:space="preserve">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μm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with an average density of 1 ± 1 spore/10 mL of 256 samples. The density of spores can highlight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epidemiologically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study about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microsporidia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>, and of the control of drinking water. The presence of human-pathogenic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spellStart"/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microsporidia</w:t>
      </w:r>
      <w:proofErr w:type="spellEnd"/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in groundwater may suggest the presence of environmental reservoirs that inclu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de animals. 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These results show that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microsporidia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may be</w:t>
      </w:r>
    </w:p>
    <w:p w:rsidR="00F861FC" w:rsidRDefault="00F861FC" w:rsidP="00F861FC">
      <w:pPr>
        <w:autoSpaceDE w:val="0"/>
        <w:autoSpaceDN w:val="0"/>
        <w:adjustRightInd w:val="0"/>
        <w:spacing w:after="0" w:line="240" w:lineRule="auto"/>
        <w:rPr>
          <w:rFonts w:ascii="STIX-Regular" w:hAnsi="STIX-Regular" w:cs="STIX-Regular"/>
          <w:sz w:val="20"/>
          <w:szCs w:val="20"/>
          <w:lang w:val="en-US"/>
        </w:rPr>
      </w:pPr>
      <w:proofErr w:type="gramStart"/>
      <w:r>
        <w:rPr>
          <w:rFonts w:ascii="STIX-Regular" w:hAnsi="STIX-Regular" w:cs="STIX-Regular"/>
          <w:sz w:val="20"/>
          <w:szCs w:val="20"/>
          <w:lang w:val="en-US"/>
        </w:rPr>
        <w:t>waterborne</w:t>
      </w:r>
      <w:proofErr w:type="gramEnd"/>
      <w:r>
        <w:rPr>
          <w:rFonts w:ascii="STIX-Regular" w:hAnsi="STIX-Regular" w:cs="STIX-Regular"/>
          <w:sz w:val="20"/>
          <w:szCs w:val="20"/>
          <w:lang w:val="en-US"/>
        </w:rPr>
        <w:t xml:space="preserve"> pathogens and that population may be exposed of health risk.</w:t>
      </w:r>
    </w:p>
    <w:p w:rsidR="00DC5246" w:rsidRPr="00F644FA" w:rsidRDefault="00F861FC" w:rsidP="00F861FC">
      <w:pPr>
        <w:rPr>
          <w:lang w:val="en-US"/>
        </w:rPr>
      </w:pPr>
      <w:r>
        <w:rPr>
          <w:rFonts w:ascii="MyriadPro-SemiboldSemiCn" w:hAnsi="MyriadPro-SemiboldSemiCn" w:cs="MyriadPro-SemiboldSemiCn"/>
          <w:sz w:val="20"/>
          <w:szCs w:val="20"/>
          <w:lang w:val="en-US"/>
        </w:rPr>
        <w:t xml:space="preserve">Keywords </w:t>
      </w:r>
      <w:r>
        <w:rPr>
          <w:rFonts w:ascii="STIX-Regular" w:hAnsi="STIX-Regular" w:cs="STIX-Regular"/>
          <w:sz w:val="20"/>
          <w:szCs w:val="20"/>
          <w:lang w:val="en-US"/>
        </w:rPr>
        <w:t xml:space="preserve">Biodynamic · </w:t>
      </w:r>
      <w:proofErr w:type="spellStart"/>
      <w:r>
        <w:rPr>
          <w:rFonts w:ascii="STIX-Regular" w:hAnsi="STIX-Regular" w:cs="STIX-Regular"/>
          <w:sz w:val="20"/>
          <w:szCs w:val="20"/>
          <w:lang w:val="en-US"/>
        </w:rPr>
        <w:t>Microsporidian</w:t>
      </w:r>
      <w:proofErr w:type="spellEnd"/>
      <w:r>
        <w:rPr>
          <w:rFonts w:ascii="STIX-Regular" w:hAnsi="STIX-Regular" w:cs="STIX-Regular"/>
          <w:sz w:val="20"/>
          <w:szCs w:val="20"/>
          <w:lang w:val="en-US"/>
        </w:rPr>
        <w:t xml:space="preserve"> spores · Groundwater · Health risk · Tropical areas</w:t>
      </w:r>
    </w:p>
    <w:sectPr w:rsidR="00DC5246" w:rsidRPr="00F644FA" w:rsidSect="00315F99">
      <w:pgSz w:w="12240" w:h="15840"/>
      <w:pgMar w:top="1134" w:right="1247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4FA"/>
    <w:rsid w:val="000B23C0"/>
    <w:rsid w:val="00143573"/>
    <w:rsid w:val="002D6A89"/>
    <w:rsid w:val="00DC5246"/>
    <w:rsid w:val="00F644FA"/>
    <w:rsid w:val="00F8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2F00B-C2E2-4620-B36E-B62FCBDB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4FA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2021-11-09T05:34:00Z</dcterms:created>
  <dcterms:modified xsi:type="dcterms:W3CDTF">2021-11-09T05:35:00Z</dcterms:modified>
</cp:coreProperties>
</file>