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17E2" w:rsidRPr="00D417E2" w:rsidRDefault="00D417E2" w:rsidP="00D417E2">
      <w:pPr>
        <w:spacing w:after="0"/>
        <w:rPr>
          <w:rFonts w:ascii="Arial" w:hAnsi="Arial" w:cs="Arial"/>
          <w:bCs/>
          <w:caps/>
          <w:sz w:val="24"/>
          <w:szCs w:val="24"/>
        </w:rPr>
      </w:pPr>
      <w:r w:rsidRPr="00D417E2">
        <w:rPr>
          <w:rFonts w:ascii="Arial" w:hAnsi="Arial" w:cs="Arial"/>
          <w:bCs/>
          <w:caps/>
          <w:sz w:val="24"/>
          <w:szCs w:val="24"/>
        </w:rPr>
        <w:t xml:space="preserve">Community-Based Management of the Calatagan Mangrove ForestConservation Park in Batangas, Philippines: a case study on environmental sustainability </w:t>
      </w:r>
    </w:p>
    <w:p w:rsidR="00D417E2" w:rsidRDefault="00D417E2" w:rsidP="00D417E2">
      <w:pPr>
        <w:jc w:val="both"/>
        <w:rPr>
          <w:rFonts w:ascii="Arial" w:hAnsi="Arial" w:cs="Arial"/>
          <w:sz w:val="24"/>
          <w:szCs w:val="24"/>
        </w:rPr>
      </w:pPr>
    </w:p>
    <w:p w:rsidR="00D417E2" w:rsidRPr="00D417E2" w:rsidRDefault="00D417E2" w:rsidP="00D417E2">
      <w:pPr>
        <w:spacing w:after="120" w:line="240" w:lineRule="auto"/>
        <w:jc w:val="both"/>
        <w:rPr>
          <w:rFonts w:ascii="Arial" w:hAnsi="Arial" w:cs="Arial"/>
          <w:sz w:val="24"/>
          <w:szCs w:val="24"/>
          <w:vertAlign w:val="superscript"/>
        </w:rPr>
      </w:pPr>
      <w:proofErr w:type="gramStart"/>
      <w:r>
        <w:rPr>
          <w:rFonts w:ascii="Arial" w:hAnsi="Arial" w:cs="Arial"/>
          <w:sz w:val="24"/>
          <w:szCs w:val="24"/>
        </w:rPr>
        <w:t>Glenn Bryan A. Creencia</w:t>
      </w:r>
      <w:r>
        <w:rPr>
          <w:rFonts w:ascii="Arial" w:hAnsi="Arial" w:cs="Arial"/>
          <w:sz w:val="24"/>
          <w:szCs w:val="24"/>
          <w:vertAlign w:val="superscript"/>
        </w:rPr>
        <w:t>1</w:t>
      </w:r>
      <w:r>
        <w:rPr>
          <w:rFonts w:ascii="Arial" w:hAnsi="Arial" w:cs="Arial"/>
          <w:sz w:val="24"/>
          <w:szCs w:val="24"/>
        </w:rPr>
        <w:t xml:space="preserve"> and </w:t>
      </w:r>
      <w:proofErr w:type="spellStart"/>
      <w:r>
        <w:rPr>
          <w:rFonts w:ascii="Arial" w:hAnsi="Arial" w:cs="Arial"/>
          <w:sz w:val="24"/>
          <w:szCs w:val="24"/>
        </w:rPr>
        <w:t>Blesshe</w:t>
      </w:r>
      <w:proofErr w:type="spellEnd"/>
      <w:r>
        <w:rPr>
          <w:rFonts w:ascii="Arial" w:hAnsi="Arial" w:cs="Arial"/>
          <w:sz w:val="24"/>
          <w:szCs w:val="24"/>
        </w:rPr>
        <w:t xml:space="preserve"> VL.</w:t>
      </w:r>
      <w:proofErr w:type="gramEnd"/>
      <w:r>
        <w:rPr>
          <w:rFonts w:ascii="Arial" w:hAnsi="Arial" w:cs="Arial"/>
          <w:sz w:val="24"/>
          <w:szCs w:val="24"/>
        </w:rPr>
        <w:t xml:space="preserve"> Querijero</w:t>
      </w:r>
      <w:r>
        <w:rPr>
          <w:rFonts w:ascii="Arial" w:hAnsi="Arial" w:cs="Arial"/>
          <w:sz w:val="24"/>
          <w:szCs w:val="24"/>
          <w:vertAlign w:val="superscript"/>
        </w:rPr>
        <w:t>2</w:t>
      </w:r>
    </w:p>
    <w:p w:rsidR="007A04EC" w:rsidRDefault="007A04EC" w:rsidP="00D417E2">
      <w:pPr>
        <w:spacing w:after="120" w:line="240" w:lineRule="auto"/>
        <w:jc w:val="both"/>
        <w:rPr>
          <w:rFonts w:ascii="Arial" w:hAnsi="Arial" w:cs="Arial"/>
          <w:sz w:val="24"/>
          <w:szCs w:val="24"/>
        </w:rPr>
      </w:pPr>
      <w:hyperlink r:id="rId5" w:history="1">
        <w:r w:rsidRPr="00C214D6">
          <w:rPr>
            <w:rStyle w:val="Hyperlink"/>
            <w:rFonts w:ascii="Arial" w:hAnsi="Arial" w:cs="Arial"/>
            <w:sz w:val="24"/>
            <w:szCs w:val="24"/>
          </w:rPr>
          <w:t>glennbryancreencia@yahoo.com</w:t>
        </w:r>
      </w:hyperlink>
      <w:r>
        <w:rPr>
          <w:rFonts w:ascii="Arial" w:hAnsi="Arial" w:cs="Arial"/>
          <w:sz w:val="24"/>
          <w:szCs w:val="24"/>
        </w:rPr>
        <w:t xml:space="preserve"> and </w:t>
      </w:r>
      <w:hyperlink r:id="rId6" w:history="1">
        <w:r w:rsidRPr="00C214D6">
          <w:rPr>
            <w:rStyle w:val="Hyperlink"/>
            <w:rFonts w:ascii="Arial" w:hAnsi="Arial" w:cs="Arial"/>
            <w:sz w:val="24"/>
            <w:szCs w:val="24"/>
          </w:rPr>
          <w:t>blessheq42@yahoo.com</w:t>
        </w:r>
      </w:hyperlink>
      <w:r>
        <w:rPr>
          <w:rFonts w:ascii="Arial" w:hAnsi="Arial" w:cs="Arial"/>
          <w:sz w:val="24"/>
          <w:szCs w:val="24"/>
        </w:rPr>
        <w:t xml:space="preserve"> </w:t>
      </w:r>
      <w:bookmarkStart w:id="0" w:name="_GoBack"/>
      <w:bookmarkEnd w:id="0"/>
    </w:p>
    <w:p w:rsidR="00D417E2" w:rsidRPr="005E0135" w:rsidRDefault="00D417E2" w:rsidP="00D417E2">
      <w:pPr>
        <w:spacing w:after="120" w:line="240" w:lineRule="auto"/>
        <w:jc w:val="both"/>
        <w:rPr>
          <w:rFonts w:ascii="Arial" w:hAnsi="Arial" w:cs="Arial"/>
          <w:sz w:val="24"/>
          <w:szCs w:val="24"/>
        </w:rPr>
      </w:pPr>
      <w:r>
        <w:rPr>
          <w:rFonts w:ascii="Arial" w:hAnsi="Arial" w:cs="Arial"/>
          <w:sz w:val="24"/>
          <w:szCs w:val="24"/>
        </w:rPr>
        <w:t>Cavite State University</w:t>
      </w:r>
      <w:r>
        <w:rPr>
          <w:rFonts w:ascii="Arial" w:hAnsi="Arial" w:cs="Arial"/>
          <w:sz w:val="24"/>
          <w:szCs w:val="24"/>
          <w:vertAlign w:val="superscript"/>
        </w:rPr>
        <w:t>1</w:t>
      </w:r>
      <w:r>
        <w:rPr>
          <w:rFonts w:ascii="Arial" w:hAnsi="Arial" w:cs="Arial"/>
          <w:sz w:val="24"/>
          <w:szCs w:val="24"/>
        </w:rPr>
        <w:t xml:space="preserve"> and University of the Philippines-Los Banos</w:t>
      </w:r>
      <w:r>
        <w:rPr>
          <w:rFonts w:ascii="Arial" w:hAnsi="Arial" w:cs="Arial"/>
          <w:sz w:val="24"/>
          <w:szCs w:val="24"/>
          <w:vertAlign w:val="superscript"/>
        </w:rPr>
        <w:t>2</w:t>
      </w:r>
    </w:p>
    <w:p w:rsidR="00D417E2" w:rsidRDefault="00D417E2" w:rsidP="00D417E2">
      <w:pPr>
        <w:jc w:val="both"/>
        <w:rPr>
          <w:rFonts w:ascii="Arial" w:hAnsi="Arial" w:cs="Arial"/>
          <w:sz w:val="24"/>
          <w:szCs w:val="24"/>
        </w:rPr>
      </w:pPr>
    </w:p>
    <w:p w:rsidR="00D417E2" w:rsidRDefault="00D417E2" w:rsidP="00D417E2">
      <w:pPr>
        <w:jc w:val="both"/>
        <w:rPr>
          <w:rFonts w:ascii="Arial" w:hAnsi="Arial" w:cs="Arial"/>
          <w:sz w:val="24"/>
          <w:szCs w:val="24"/>
        </w:rPr>
      </w:pPr>
      <w:r w:rsidRPr="001539F4">
        <w:rPr>
          <w:rFonts w:ascii="Arial" w:hAnsi="Arial" w:cs="Arial"/>
          <w:sz w:val="24"/>
          <w:szCs w:val="24"/>
        </w:rPr>
        <w:t>Abstract</w:t>
      </w:r>
    </w:p>
    <w:p w:rsidR="00D417E2" w:rsidRDefault="00D417E2" w:rsidP="00D417E2">
      <w:pPr>
        <w:spacing w:after="0" w:line="240" w:lineRule="auto"/>
        <w:jc w:val="both"/>
        <w:rPr>
          <w:rFonts w:ascii="Arial" w:hAnsi="Arial" w:cs="Arial"/>
          <w:sz w:val="24"/>
          <w:szCs w:val="24"/>
        </w:rPr>
      </w:pPr>
      <w:r>
        <w:rPr>
          <w:rFonts w:ascii="Arial" w:hAnsi="Arial" w:cs="Arial"/>
          <w:sz w:val="24"/>
          <w:szCs w:val="24"/>
        </w:rPr>
        <w:t xml:space="preserve">Mangroves provide humankind with valuable resources and services. The big decline of mangrove forests in the Philippines was attributed to over-exploitation by coastal dwellers, conversion to agriculture or fishponds, and settlement.  The efforts of a small group of women to protect a mangrove forest called </w:t>
      </w:r>
      <w:proofErr w:type="spellStart"/>
      <w:r w:rsidRPr="004C5E0B">
        <w:rPr>
          <w:rFonts w:ascii="Arial" w:hAnsi="Arial" w:cs="Arial"/>
          <w:i/>
          <w:sz w:val="24"/>
          <w:szCs w:val="24"/>
        </w:rPr>
        <w:t>Ang</w:t>
      </w:r>
      <w:proofErr w:type="spellEnd"/>
      <w:r w:rsidRPr="004C5E0B">
        <w:rPr>
          <w:rFonts w:ascii="Arial" w:hAnsi="Arial" w:cs="Arial"/>
          <w:i/>
          <w:sz w:val="24"/>
          <w:szCs w:val="24"/>
        </w:rPr>
        <w:t xml:space="preserve"> </w:t>
      </w:r>
      <w:proofErr w:type="spellStart"/>
      <w:r w:rsidRPr="004C5E0B">
        <w:rPr>
          <w:rFonts w:ascii="Arial" w:hAnsi="Arial" w:cs="Arial"/>
          <w:i/>
          <w:sz w:val="24"/>
          <w:szCs w:val="24"/>
        </w:rPr>
        <w:t>Pulo</w:t>
      </w:r>
      <w:proofErr w:type="spellEnd"/>
      <w:r>
        <w:rPr>
          <w:rFonts w:ascii="Arial" w:hAnsi="Arial" w:cs="Arial"/>
          <w:sz w:val="24"/>
          <w:szCs w:val="24"/>
        </w:rPr>
        <w:t xml:space="preserve"> in </w:t>
      </w:r>
      <w:proofErr w:type="spellStart"/>
      <w:r>
        <w:rPr>
          <w:rFonts w:ascii="Arial" w:hAnsi="Arial" w:cs="Arial"/>
          <w:sz w:val="24"/>
          <w:szCs w:val="24"/>
        </w:rPr>
        <w:t>Brgy</w:t>
      </w:r>
      <w:proofErr w:type="spellEnd"/>
      <w:r>
        <w:rPr>
          <w:rFonts w:ascii="Arial" w:hAnsi="Arial" w:cs="Arial"/>
          <w:sz w:val="24"/>
          <w:szCs w:val="24"/>
        </w:rPr>
        <w:t xml:space="preserve"> </w:t>
      </w:r>
      <w:proofErr w:type="spellStart"/>
      <w:r>
        <w:rPr>
          <w:rFonts w:ascii="Arial" w:hAnsi="Arial" w:cs="Arial"/>
          <w:sz w:val="24"/>
          <w:szCs w:val="24"/>
        </w:rPr>
        <w:t>Quilitisan</w:t>
      </w:r>
      <w:proofErr w:type="spellEnd"/>
      <w:r>
        <w:rPr>
          <w:rFonts w:ascii="Arial" w:hAnsi="Arial" w:cs="Arial"/>
          <w:sz w:val="24"/>
          <w:szCs w:val="24"/>
        </w:rPr>
        <w:t xml:space="preserve">, </w:t>
      </w:r>
      <w:proofErr w:type="spellStart"/>
      <w:r>
        <w:rPr>
          <w:rFonts w:ascii="Arial" w:hAnsi="Arial" w:cs="Arial"/>
          <w:sz w:val="24"/>
          <w:szCs w:val="24"/>
        </w:rPr>
        <w:t>Calatagan</w:t>
      </w:r>
      <w:proofErr w:type="spellEnd"/>
      <w:r>
        <w:rPr>
          <w:rFonts w:ascii="Arial" w:hAnsi="Arial" w:cs="Arial"/>
          <w:sz w:val="24"/>
          <w:szCs w:val="24"/>
        </w:rPr>
        <w:t xml:space="preserve">, </w:t>
      </w:r>
      <w:proofErr w:type="spellStart"/>
      <w:proofErr w:type="gramStart"/>
      <w:r>
        <w:rPr>
          <w:rFonts w:ascii="Arial" w:hAnsi="Arial" w:cs="Arial"/>
          <w:sz w:val="24"/>
          <w:szCs w:val="24"/>
        </w:rPr>
        <w:t>Batangas</w:t>
      </w:r>
      <w:proofErr w:type="spellEnd"/>
      <w:r>
        <w:rPr>
          <w:rFonts w:ascii="Arial" w:hAnsi="Arial" w:cs="Arial"/>
          <w:sz w:val="24"/>
          <w:szCs w:val="24"/>
        </w:rPr>
        <w:t xml:space="preserve">  triggered</w:t>
      </w:r>
      <w:proofErr w:type="gramEnd"/>
      <w:r>
        <w:rPr>
          <w:rFonts w:ascii="Arial" w:hAnsi="Arial" w:cs="Arial"/>
          <w:sz w:val="24"/>
          <w:szCs w:val="24"/>
        </w:rPr>
        <w:t xml:space="preserve"> the curiosity of the researcher  to conduct this study. The study determined the level of knowledge and awareness (KA)</w:t>
      </w:r>
      <w:r w:rsidRPr="00496BF9">
        <w:rPr>
          <w:rFonts w:ascii="Arial" w:hAnsi="Arial" w:cs="Arial"/>
          <w:sz w:val="24"/>
          <w:szCs w:val="24"/>
        </w:rPr>
        <w:t xml:space="preserve"> </w:t>
      </w:r>
      <w:r>
        <w:rPr>
          <w:rFonts w:ascii="Arial" w:hAnsi="Arial" w:cs="Arial"/>
          <w:sz w:val="24"/>
          <w:szCs w:val="24"/>
        </w:rPr>
        <w:t xml:space="preserve">on mangrove resources, services and conservation practices of the local government unit (LGU) of </w:t>
      </w:r>
      <w:proofErr w:type="spellStart"/>
      <w:r>
        <w:rPr>
          <w:rFonts w:ascii="Arial" w:hAnsi="Arial" w:cs="Arial"/>
          <w:sz w:val="24"/>
          <w:szCs w:val="24"/>
        </w:rPr>
        <w:t>Catalagan</w:t>
      </w:r>
      <w:proofErr w:type="spellEnd"/>
      <w:r>
        <w:rPr>
          <w:rFonts w:ascii="Arial" w:hAnsi="Arial" w:cs="Arial"/>
          <w:sz w:val="24"/>
          <w:szCs w:val="24"/>
        </w:rPr>
        <w:t xml:space="preserve">, </w:t>
      </w:r>
      <w:proofErr w:type="spellStart"/>
      <w:r>
        <w:rPr>
          <w:rFonts w:ascii="Arial" w:hAnsi="Arial" w:cs="Arial"/>
          <w:sz w:val="24"/>
          <w:szCs w:val="24"/>
        </w:rPr>
        <w:t>Batangas</w:t>
      </w:r>
      <w:proofErr w:type="spellEnd"/>
      <w:r>
        <w:rPr>
          <w:rFonts w:ascii="Arial" w:hAnsi="Arial" w:cs="Arial"/>
          <w:sz w:val="24"/>
          <w:szCs w:val="24"/>
        </w:rPr>
        <w:t xml:space="preserve">, the people’s organization (PO) called </w:t>
      </w:r>
      <w:r w:rsidRPr="004C5E0B">
        <w:rPr>
          <w:rFonts w:ascii="Arial" w:hAnsi="Arial" w:cs="Arial"/>
          <w:i/>
          <w:sz w:val="24"/>
          <w:szCs w:val="24"/>
        </w:rPr>
        <w:t>PALITAKAN</w:t>
      </w:r>
      <w:r>
        <w:rPr>
          <w:rFonts w:ascii="Arial" w:hAnsi="Arial" w:cs="Arial"/>
          <w:sz w:val="24"/>
          <w:szCs w:val="24"/>
        </w:rPr>
        <w:t xml:space="preserve"> which was initially composed of 10 women, and the local coastal community of </w:t>
      </w:r>
      <w:proofErr w:type="spellStart"/>
      <w:r>
        <w:rPr>
          <w:rFonts w:ascii="Arial" w:hAnsi="Arial" w:cs="Arial"/>
          <w:sz w:val="24"/>
          <w:szCs w:val="24"/>
        </w:rPr>
        <w:t>Bgry</w:t>
      </w:r>
      <w:proofErr w:type="spellEnd"/>
      <w:r>
        <w:rPr>
          <w:rFonts w:ascii="Arial" w:hAnsi="Arial" w:cs="Arial"/>
          <w:sz w:val="24"/>
          <w:szCs w:val="24"/>
        </w:rPr>
        <w:t xml:space="preserve">. </w:t>
      </w:r>
      <w:proofErr w:type="spellStart"/>
      <w:proofErr w:type="gramStart"/>
      <w:r>
        <w:rPr>
          <w:rFonts w:ascii="Arial" w:hAnsi="Arial" w:cs="Arial"/>
          <w:sz w:val="24"/>
          <w:szCs w:val="24"/>
        </w:rPr>
        <w:t>Quilitisan</w:t>
      </w:r>
      <w:proofErr w:type="spellEnd"/>
      <w:r>
        <w:rPr>
          <w:rFonts w:ascii="Arial" w:hAnsi="Arial" w:cs="Arial"/>
          <w:sz w:val="24"/>
          <w:szCs w:val="24"/>
        </w:rPr>
        <w:t>.</w:t>
      </w:r>
      <w:proofErr w:type="gramEnd"/>
      <w:r>
        <w:rPr>
          <w:rFonts w:ascii="Arial" w:hAnsi="Arial" w:cs="Arial"/>
          <w:sz w:val="24"/>
          <w:szCs w:val="24"/>
        </w:rPr>
        <w:t xml:space="preserve"> It also determined </w:t>
      </w:r>
      <w:r w:rsidRPr="007A0BAD">
        <w:rPr>
          <w:rFonts w:ascii="Arial" w:hAnsi="Arial" w:cs="Arial"/>
          <w:sz w:val="24"/>
          <w:szCs w:val="24"/>
        </w:rPr>
        <w:t>the</w:t>
      </w:r>
      <w:r>
        <w:rPr>
          <w:rFonts w:ascii="Arial" w:hAnsi="Arial" w:cs="Arial"/>
          <w:sz w:val="24"/>
          <w:szCs w:val="24"/>
        </w:rPr>
        <w:t xml:space="preserve"> value that these stakeholders ascribe to various mangrove resources. Data was collected through</w:t>
      </w:r>
      <w:r w:rsidRPr="004D02C9">
        <w:rPr>
          <w:rFonts w:ascii="Arial" w:hAnsi="Arial" w:cs="Arial"/>
          <w:sz w:val="24"/>
          <w:szCs w:val="24"/>
        </w:rPr>
        <w:t xml:space="preserve"> </w:t>
      </w:r>
      <w:r>
        <w:rPr>
          <w:rFonts w:ascii="Arial" w:hAnsi="Arial" w:cs="Arial"/>
          <w:sz w:val="24"/>
          <w:szCs w:val="24"/>
        </w:rPr>
        <w:t>the use of</w:t>
      </w:r>
      <w:r w:rsidRPr="004D02C9">
        <w:rPr>
          <w:rFonts w:ascii="Arial" w:hAnsi="Arial" w:cs="Arial"/>
          <w:sz w:val="24"/>
          <w:szCs w:val="24"/>
        </w:rPr>
        <w:t xml:space="preserve"> question</w:t>
      </w:r>
      <w:r>
        <w:rPr>
          <w:rFonts w:ascii="Arial" w:hAnsi="Arial" w:cs="Arial"/>
          <w:sz w:val="24"/>
          <w:szCs w:val="24"/>
        </w:rPr>
        <w:t xml:space="preserve">naires. </w:t>
      </w:r>
      <w:r>
        <w:rPr>
          <w:rFonts w:ascii="Arial" w:hAnsi="Arial" w:cs="Arial"/>
          <w:bCs/>
          <w:sz w:val="24"/>
          <w:szCs w:val="24"/>
          <w:lang w:val="en-PH"/>
        </w:rPr>
        <w:t xml:space="preserve">The results showed that LGU, PO, and the local community had high to very high level of KA toward mangrove resources, services, and conservation practices but the PO had consistently very high level of KA. Their active role in mangrove conservation enabled them to have higher level of KA. The mangrove tree was perceived to have the highest selling price (value) while lowest for seed and seedlings. The perceived selling price of the mangrove resources reflected how the stakeholders value these resources based on their prior knowledge and experiences. </w:t>
      </w:r>
      <w:r>
        <w:rPr>
          <w:rFonts w:ascii="Arial" w:hAnsi="Arial" w:cs="Arial"/>
          <w:sz w:val="24"/>
          <w:szCs w:val="24"/>
        </w:rPr>
        <w:t>They also have very high level of KA on mangrove resources, services and conservation practices.</w:t>
      </w:r>
    </w:p>
    <w:p w:rsidR="00D417E2" w:rsidRDefault="00D417E2" w:rsidP="00D417E2">
      <w:pPr>
        <w:spacing w:after="0" w:line="240" w:lineRule="auto"/>
        <w:jc w:val="both"/>
        <w:rPr>
          <w:rFonts w:ascii="Arial" w:hAnsi="Arial" w:cs="Arial"/>
          <w:sz w:val="24"/>
          <w:szCs w:val="24"/>
        </w:rPr>
      </w:pPr>
    </w:p>
    <w:p w:rsidR="00D417E2" w:rsidRPr="00F75321" w:rsidRDefault="00D417E2" w:rsidP="00D417E2">
      <w:pPr>
        <w:spacing w:after="0" w:line="240" w:lineRule="auto"/>
        <w:jc w:val="both"/>
        <w:rPr>
          <w:rFonts w:ascii="Arial" w:hAnsi="Arial" w:cs="Arial"/>
          <w:sz w:val="24"/>
          <w:szCs w:val="24"/>
        </w:rPr>
      </w:pPr>
    </w:p>
    <w:p w:rsidR="00D417E2" w:rsidRDefault="00D417E2" w:rsidP="00D417E2">
      <w:pPr>
        <w:spacing w:after="0" w:line="240" w:lineRule="auto"/>
        <w:jc w:val="both"/>
        <w:rPr>
          <w:rFonts w:ascii="Arial" w:hAnsi="Arial" w:cs="Arial"/>
          <w:bCs/>
          <w:sz w:val="24"/>
          <w:szCs w:val="24"/>
        </w:rPr>
      </w:pPr>
      <w:r>
        <w:rPr>
          <w:rFonts w:ascii="Arial" w:hAnsi="Arial" w:cs="Arial"/>
          <w:bCs/>
          <w:sz w:val="24"/>
          <w:szCs w:val="24"/>
        </w:rPr>
        <w:t xml:space="preserve">Keywords: knowledge, awareness, economic valuation, </w:t>
      </w:r>
      <w:proofErr w:type="spellStart"/>
      <w:proofErr w:type="gramStart"/>
      <w:r>
        <w:rPr>
          <w:rFonts w:ascii="Arial" w:hAnsi="Arial" w:cs="Arial"/>
          <w:bCs/>
          <w:sz w:val="24"/>
          <w:szCs w:val="24"/>
        </w:rPr>
        <w:t>philippines</w:t>
      </w:r>
      <w:proofErr w:type="spellEnd"/>
      <w:proofErr w:type="gramEnd"/>
      <w:r>
        <w:rPr>
          <w:rFonts w:ascii="Arial" w:hAnsi="Arial" w:cs="Arial"/>
          <w:bCs/>
          <w:sz w:val="24"/>
          <w:szCs w:val="24"/>
        </w:rPr>
        <w:t>,</w:t>
      </w:r>
    </w:p>
    <w:p w:rsidR="00500AE5" w:rsidRDefault="00D417E2" w:rsidP="00D417E2">
      <w:proofErr w:type="gramStart"/>
      <w:r>
        <w:rPr>
          <w:rFonts w:ascii="Arial" w:hAnsi="Arial" w:cs="Arial"/>
          <w:bCs/>
          <w:sz w:val="24"/>
          <w:szCs w:val="24"/>
        </w:rPr>
        <w:t>biodiversity</w:t>
      </w:r>
      <w:proofErr w:type="gramEnd"/>
      <w:r>
        <w:rPr>
          <w:rFonts w:ascii="Arial" w:hAnsi="Arial" w:cs="Arial"/>
          <w:bCs/>
          <w:sz w:val="24"/>
          <w:szCs w:val="24"/>
        </w:rPr>
        <w:t xml:space="preserve"> conservation</w:t>
      </w:r>
    </w:p>
    <w:sectPr w:rsidR="00500A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17E2"/>
    <w:rsid w:val="00500AE5"/>
    <w:rsid w:val="007A04EC"/>
    <w:rsid w:val="00D417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7E2"/>
    <w:rPr>
      <w:rFonts w:ascii="Calibri" w:eastAsia="Calibri" w:hAnsi="Calibri" w:cs="Times New Roman"/>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A04E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7E2"/>
    <w:rPr>
      <w:rFonts w:ascii="Calibri" w:eastAsia="Calibri" w:hAnsi="Calibri" w:cs="Times New Roman"/>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A04E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blessheq42@yahoo.com" TargetMode="External"/><Relationship Id="rId5" Type="http://schemas.openxmlformats.org/officeDocument/2006/relationships/hyperlink" Target="mailto:glennbryancreencia@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309</Words>
  <Characters>1765</Characters>
  <Application>Microsoft Office Word</Application>
  <DocSecurity>0</DocSecurity>
  <Lines>14</Lines>
  <Paragraphs>4</Paragraphs>
  <ScaleCrop>false</ScaleCrop>
  <Company/>
  <LinksUpToDate>false</LinksUpToDate>
  <CharactersWithSpaces>2070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Bryan</dc:creator>
  <cp:lastModifiedBy>Bryan</cp:lastModifiedBy>
  <cp:revision>2</cp:revision>
  <dcterms:created xsi:type="dcterms:W3CDTF">2017-10-17T03:12:00Z</dcterms:created>
  <dcterms:modified xsi:type="dcterms:W3CDTF">2017-10-17T03:12:00Z</dcterms:modified>
</cp:coreProperties>
</file>