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159" w:rsidRDefault="00FA4159" w:rsidP="00FA415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Development of Universal COI Biomarker for the Identification of Raw and Commercial Fish Species in Malaysian Supermarkets </w:t>
      </w:r>
    </w:p>
    <w:p w:rsidR="00FA4159" w:rsidRDefault="00FA4159" w:rsidP="00FA4159">
      <w:pPr>
        <w:spacing w:line="360" w:lineRule="auto"/>
        <w:jc w:val="center"/>
        <w:rPr>
          <w:rFonts w:ascii="Times New Roman" w:hAnsi="Times New Roman" w:cs="Times New Roman"/>
          <w:b/>
          <w:sz w:val="28"/>
          <w:szCs w:val="28"/>
        </w:rPr>
      </w:pPr>
      <w:bookmarkStart w:id="0" w:name="_GoBack"/>
      <w:bookmarkEnd w:id="0"/>
    </w:p>
    <w:p w:rsidR="00FA4159" w:rsidRDefault="00FA4159" w:rsidP="00FA4159">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Abstract</w:t>
      </w:r>
    </w:p>
    <w:p w:rsidR="00FA4159" w:rsidRDefault="00FA4159" w:rsidP="00FA41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the global craft for fish and aquaculture products expands, adulteration and mislabelling of these products has become a major concern in the food safety arena. Among different molecular techniques of commercial fish product authentication DNA barcoding hold the potential for fast and accurate assessment of proper labelling. The present study aimed to develop a universal molecular fish biomarker to authenticate raw and ready-to-eat fish products in Malaysian super markets using DNA barcoding and Polymerase Chain Reaction (PCR) method. A total of 33 raw fish samples and 24 commercial ready-to-eat or ready-to-cook fish samples were tested using 295bp COI fragment. The raw fish samples were authenticated using PCR techniques whereas commercially processed fish samples were authenticated by DNA barcoding. The study results revealed that the developed COI biomarker performed well in all practical trails, no false positive results observed, and extremely suitable for commercial fish product </w:t>
      </w:r>
      <w:proofErr w:type="gramStart"/>
      <w:r>
        <w:rPr>
          <w:rFonts w:ascii="Times New Roman" w:hAnsi="Times New Roman" w:cs="Times New Roman"/>
          <w:sz w:val="24"/>
          <w:szCs w:val="24"/>
        </w:rPr>
        <w:t>authentication</w:t>
      </w:r>
      <w:proofErr w:type="gramEnd"/>
      <w:r>
        <w:rPr>
          <w:rFonts w:ascii="Times New Roman" w:hAnsi="Times New Roman" w:cs="Times New Roman"/>
          <w:sz w:val="24"/>
          <w:szCs w:val="24"/>
        </w:rPr>
        <w:t>. This study also reveals that 70% (14/20) of commercial fish mislabelling prevailing in Malaysian super market. Therefore, the proposed universal fish biomarker can be used as a reliable tool for the authentication of fish adulteration, particularly for monitoring commercial fish products labelling.  Also, this techniques may help fish industry to implement traceability of the systems.</w:t>
      </w:r>
    </w:p>
    <w:p w:rsidR="00FA4159" w:rsidRDefault="00FA4159" w:rsidP="00FA4159">
      <w:pPr>
        <w:spacing w:line="36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Commercial fish products, Universal primer, Cytochrome oxidase gene (COI), Polymerase chain reaction (PCR). DNA sequencing, Mislabelling.</w:t>
      </w:r>
    </w:p>
    <w:p w:rsidR="00B577A3" w:rsidRDefault="00B577A3"/>
    <w:sectPr w:rsidR="00B577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159"/>
    <w:rsid w:val="00B577A3"/>
    <w:rsid w:val="00FA4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90D4A-6B33-40B2-B886-391C12689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15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52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Sharmin Sultana</dc:creator>
  <cp:keywords/>
  <dc:description/>
  <cp:lastModifiedBy>Sharmin Sultana</cp:lastModifiedBy>
  <cp:revision>1</cp:revision>
  <dcterms:created xsi:type="dcterms:W3CDTF">2017-02-06T07:16:00Z</dcterms:created>
  <dcterms:modified xsi:type="dcterms:W3CDTF">2017-02-06T07:17:00Z</dcterms:modified>
</cp:coreProperties>
</file>