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spacing w:after="80" w:line="360" w:lineRule="auto"/>
        <w:jc w:val="center"/>
        <w:rPr>
          <w:sz w:val="26"/>
          <w:szCs w:val="26"/>
        </w:rPr>
      </w:pPr>
      <w:r>
        <w:rPr>
          <w:rFonts w:ascii="Times New Roman" w:hAnsi="Times New Roman"/>
          <w:sz w:val="26"/>
          <w:szCs w:val="26"/>
          <w:rtl w:val="0"/>
          <w:lang w:val="en-US"/>
        </w:rPr>
        <w:t xml:space="preserve">Study of  </w:t>
      </w:r>
      <w:r>
        <w:rPr>
          <w:rFonts w:ascii="Times New Roman" w:hAnsi="Times New Roman"/>
          <w:sz w:val="26"/>
          <w:szCs w:val="26"/>
          <w:rtl w:val="0"/>
          <w:lang w:val="en-US"/>
        </w:rPr>
        <w:t>P</w:t>
      </w:r>
      <w:r>
        <w:rPr>
          <w:rFonts w:ascii="Times New Roman" w:hAnsi="Times New Roman"/>
          <w:sz w:val="26"/>
          <w:szCs w:val="26"/>
          <w:rtl w:val="0"/>
          <w:lang w:val="en-US"/>
        </w:rPr>
        <w:t xml:space="preserve">hysiological </w:t>
      </w:r>
      <w:r>
        <w:rPr>
          <w:rFonts w:ascii="Times New Roman" w:hAnsi="Times New Roman"/>
          <w:sz w:val="26"/>
          <w:szCs w:val="26"/>
          <w:rtl w:val="0"/>
          <w:lang w:val="en-US"/>
        </w:rPr>
        <w:t>S</w:t>
      </w:r>
      <w:r>
        <w:rPr>
          <w:rFonts w:ascii="Times New Roman" w:hAnsi="Times New Roman"/>
          <w:sz w:val="26"/>
          <w:szCs w:val="26"/>
          <w:rtl w:val="0"/>
          <w:lang w:val="en-US"/>
        </w:rPr>
        <w:t xml:space="preserve">tructure of PMM1 </w:t>
      </w:r>
      <w:r>
        <w:rPr>
          <w:rFonts w:ascii="Times New Roman" w:hAnsi="Times New Roman"/>
          <w:sz w:val="26"/>
          <w:szCs w:val="26"/>
          <w:rtl w:val="0"/>
          <w:lang w:val="en-US"/>
        </w:rPr>
        <w:t>P</w:t>
      </w:r>
      <w:r>
        <w:rPr>
          <w:rFonts w:ascii="Times New Roman" w:hAnsi="Times New Roman"/>
          <w:sz w:val="26"/>
          <w:szCs w:val="26"/>
          <w:rtl w:val="0"/>
          <w:lang w:val="en-US"/>
        </w:rPr>
        <w:t xml:space="preserve">rotein and </w:t>
      </w:r>
      <w:r>
        <w:rPr>
          <w:rFonts w:ascii="Times New Roman" w:hAnsi="Times New Roman"/>
          <w:sz w:val="26"/>
          <w:szCs w:val="26"/>
          <w:rtl w:val="0"/>
          <w:lang w:val="en-US"/>
        </w:rPr>
        <w:t>B</w:t>
      </w:r>
      <w:r>
        <w:rPr>
          <w:rFonts w:ascii="Times New Roman" w:hAnsi="Times New Roman"/>
          <w:sz w:val="26"/>
          <w:szCs w:val="26"/>
          <w:rtl w:val="0"/>
          <w:lang w:val="en-US"/>
        </w:rPr>
        <w:t xml:space="preserve">iological </w:t>
      </w:r>
      <w:r>
        <w:rPr>
          <w:rFonts w:ascii="Times New Roman" w:hAnsi="Times New Roman"/>
          <w:sz w:val="26"/>
          <w:szCs w:val="26"/>
          <w:rtl w:val="0"/>
          <w:lang w:val="en-US"/>
        </w:rPr>
        <w:t>M</w:t>
      </w:r>
      <w:r>
        <w:rPr>
          <w:rFonts w:ascii="Times New Roman" w:hAnsi="Times New Roman"/>
          <w:sz w:val="26"/>
          <w:szCs w:val="26"/>
          <w:rtl w:val="0"/>
          <w:lang w:val="en-US"/>
        </w:rPr>
        <w:t xml:space="preserve">echanism of IMP </w:t>
      </w:r>
      <w:r>
        <w:rPr>
          <w:rFonts w:ascii="Times New Roman" w:hAnsi="Times New Roman"/>
          <w:sz w:val="26"/>
          <w:szCs w:val="26"/>
          <w:rtl w:val="0"/>
          <w:lang w:val="en-US"/>
        </w:rPr>
        <w:t>S</w:t>
      </w:r>
      <w:r>
        <w:rPr>
          <w:rFonts w:ascii="Times New Roman" w:hAnsi="Times New Roman"/>
          <w:sz w:val="26"/>
          <w:szCs w:val="26"/>
          <w:rtl w:val="0"/>
          <w:lang w:val="en-US"/>
        </w:rPr>
        <w:t>ubstrate</w:t>
      </w:r>
      <w:r>
        <w:rPr>
          <w:rFonts w:ascii="Times New Roman" w:hAnsi="Times New Roman"/>
          <w:sz w:val="26"/>
          <w:szCs w:val="26"/>
          <w:rtl w:val="0"/>
          <w:lang w:val="en-US"/>
        </w:rPr>
        <w:t xml:space="preserve"> B</w:t>
      </w:r>
      <w:r>
        <w:rPr>
          <w:rFonts w:ascii="Times New Roman" w:hAnsi="Times New Roman"/>
          <w:sz w:val="26"/>
          <w:szCs w:val="26"/>
          <w:rtl w:val="0"/>
          <w:lang w:val="en-US"/>
        </w:rPr>
        <w:t>inding</w:t>
      </w:r>
    </w:p>
    <w:p>
      <w:pPr>
        <w:pStyle w:val="Body A"/>
        <w:spacing w:line="36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The mutation of Phosphomannomutase (PMM) gene has been discovered to cause the first and most prevalent congenital disorders of glycosylation (CDG), classified as CDG Type Ia. PMM protein is an enzyme that takes part in the initial step of N-linked glycosylation pathway. PMM promotes conversion of sugar between D-mannose 6- phosphate and D-mannose 1-phosphate, which is a substrate for GDP-mannose synthesis. However, only PMM2 was confirmed the cause for CDG-Ia, whereas the primary function of PMM1 was discovered to be glucose-1,6-bisphosphate phosphatase. </w:t>
      </w:r>
      <w:r>
        <w:rPr>
          <w:rFonts w:ascii="Times" w:hAnsi="Times"/>
          <w:sz w:val="24"/>
          <w:szCs w:val="24"/>
          <w:rtl w:val="0"/>
          <w:lang w:val="en-US"/>
        </w:rPr>
        <w:t xml:space="preserve">The recent research suggests that PMM1 may play an important role in glycolysis during ischemia, when there is no enough supply of blood, and provides another pathway to pyruvate metabolism. As the shortage of oxygen and glucose occurs, ATP is depleted and it leads to increase in metabolic product </w:t>
      </w:r>
      <w:r>
        <w:rPr>
          <w:rFonts w:ascii="Times New Roman" w:hAnsi="Times New Roman"/>
          <w:sz w:val="24"/>
          <w:szCs w:val="24"/>
          <w:rtl w:val="0"/>
          <w:lang w:val="en-US"/>
        </w:rPr>
        <w:t>inosine monophosphate (IMP). As PMM1 binds with IMP, it is activated to function as a phosphatase, an enzyme that removes a phosphate group, thus converting glucose 1,6-biphosphate (Glc-1,6-P</w:t>
      </w:r>
      <w:r>
        <w:rPr>
          <w:rFonts w:ascii="Times New Roman" w:hAnsi="Times New Roman"/>
          <w:position w:val="-6"/>
          <w:sz w:val="21"/>
          <w:szCs w:val="21"/>
          <w:rtl w:val="0"/>
          <w:lang w:val="en-US"/>
        </w:rPr>
        <w:t xml:space="preserve">2) </w:t>
      </w:r>
      <w:r>
        <w:rPr>
          <w:rFonts w:ascii="Times New Roman" w:hAnsi="Times New Roman"/>
          <w:sz w:val="24"/>
          <w:szCs w:val="24"/>
          <w:rtl w:val="0"/>
          <w:lang w:val="en-US"/>
        </w:rPr>
        <w:t>to glucose 6-phosphate (Glc-6-P). Excess Glc-1,6-P</w:t>
      </w:r>
      <w:r>
        <w:rPr>
          <w:rFonts w:ascii="Times New Roman" w:hAnsi="Times New Roman"/>
          <w:position w:val="-6"/>
          <w:sz w:val="21"/>
          <w:szCs w:val="21"/>
          <w:rtl w:val="0"/>
          <w:lang w:val="en-US"/>
        </w:rPr>
        <w:t xml:space="preserve">2 </w:t>
      </w:r>
      <w:r>
        <w:rPr>
          <w:rFonts w:ascii="Times New Roman" w:hAnsi="Times New Roman"/>
          <w:sz w:val="24"/>
          <w:szCs w:val="24"/>
          <w:rtl w:val="0"/>
          <w:lang w:val="en-US"/>
        </w:rPr>
        <w:t>serving to maintain glycolysis via PMM1 phosphatase activity indicates a mechanism that can be potential useful when there is not enough stored energy in our body. This research aims to study the physiological structure of PMM1 protein and the biological mechanism of IMP substrate binding and switching activity from mutase to phosphatase.</w:t>
      </w:r>
    </w:p>
    <w:p>
      <w:pPr>
        <w:pStyle w:val="Body A"/>
        <w:spacing w:line="36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X-ray Crystallography was used to determine the 3-D protein structure. DNA ligation of PMM1 and YsaA gene product was performed to prepare a plasmid vector containing the gene of interest. After successful ligation, the prepared vector was inserted into plasmid of Dh5-Alpha</w:t>
      </w:r>
      <w:r>
        <w:rPr>
          <w:rFonts w:ascii="Times New Roman" w:hAnsi="Times New Roman"/>
          <w:i w:val="1"/>
          <w:iCs w:val="1"/>
          <w:sz w:val="24"/>
          <w:szCs w:val="24"/>
          <w:rtl w:val="0"/>
          <w:lang w:val="it-IT"/>
        </w:rPr>
        <w:t xml:space="preserve"> Escherichia coli </w:t>
      </w:r>
      <w:r>
        <w:rPr>
          <w:rFonts w:ascii="Times New Roman" w:hAnsi="Times New Roman"/>
          <w:sz w:val="24"/>
          <w:szCs w:val="24"/>
          <w:rtl w:val="0"/>
          <w:lang w:val="en-US"/>
        </w:rPr>
        <w:t>and bacterial cells were transformed with new genetic coding for PMM1 protein production. The competent cells were induced with IPTG to over-express PMM1 proteins in the culture. Pure protein content with over 80% homogeneity was collect through three steps of purification process using the fast protein liquid chromatography (FPLC) machine: HIS column, IEC column, and size-exclusion column. Crystal trays were set up with various conditions in batches, and the hit conditions were optimized over and over to acquire less than 2</w:t>
      </w:r>
      <w:r>
        <w:rPr>
          <w:rFonts w:ascii="Times New Roman" w:hAnsi="Times New Roman" w:hint="default"/>
          <w:sz w:val="24"/>
          <w:szCs w:val="24"/>
          <w:rtl w:val="0"/>
          <w:lang w:val="da-DK"/>
        </w:rPr>
        <w:t>Å</w:t>
      </w:r>
      <w:r>
        <w:rPr>
          <w:rFonts w:ascii="Times New Roman" w:hAnsi="Times New Roman"/>
          <w:sz w:val="24"/>
          <w:szCs w:val="24"/>
          <w:rtl w:val="0"/>
          <w:lang w:val="en-US"/>
        </w:rPr>
        <w:t xml:space="preserve"> quality crystals. </w:t>
      </w:r>
    </w:p>
    <w:p>
      <w:pPr>
        <w:pStyle w:val="Body A"/>
        <w:spacing w:line="360" w:lineRule="auto"/>
        <w:rPr>
          <w:rFonts w:ascii="Times" w:cs="Times" w:hAnsi="Times" w:eastAsia="Times"/>
          <w:sz w:val="24"/>
          <w:szCs w:val="24"/>
        </w:rPr>
      </w:pPr>
      <w:r>
        <w:rPr>
          <w:rFonts w:ascii="Times New Roman" w:cs="Times New Roman" w:hAnsi="Times New Roman" w:eastAsia="Times New Roman"/>
          <w:sz w:val="24"/>
          <w:szCs w:val="24"/>
          <w:rtl w:val="0"/>
          <w:lang w:val="en-US"/>
        </w:rPr>
        <w:tab/>
        <w:t xml:space="preserve">PMM1 with IMP crystal was obtained by soaking with 200mM IMP for 3.5 hours prior to cryo-cooling Data was collected using the remote access beamline 12-2 at Stanford Synchrotron Radiation Lightsource (SSRL). Resolution of data was 1.93 </w:t>
      </w:r>
      <w:r>
        <w:rPr>
          <w:rFonts w:ascii="Times New Roman" w:hAnsi="Times New Roman" w:hint="default"/>
          <w:sz w:val="24"/>
          <w:szCs w:val="24"/>
          <w:rtl w:val="0"/>
          <w:lang w:val="da-DK"/>
        </w:rPr>
        <w:t>Å</w:t>
      </w:r>
      <w:r>
        <w:rPr>
          <w:rFonts w:ascii="Times New Roman" w:hAnsi="Times New Roman"/>
          <w:sz w:val="24"/>
          <w:szCs w:val="24"/>
          <w:rtl w:val="0"/>
          <w:lang w:val="en-US"/>
        </w:rPr>
        <w:t xml:space="preserve">. </w:t>
      </w:r>
      <w:r>
        <w:rPr>
          <w:rFonts w:ascii="Times" w:hAnsi="Times"/>
          <w:sz w:val="24"/>
          <w:szCs w:val="24"/>
          <w:rtl w:val="0"/>
          <w:lang w:val="en-US"/>
        </w:rPr>
        <w:t xml:space="preserve">The structural results combined with </w:t>
      </w:r>
      <w:r>
        <w:rPr>
          <w:rFonts w:ascii="Times New Roman" w:hAnsi="Times New Roman"/>
          <w:sz w:val="24"/>
          <w:szCs w:val="24"/>
          <w:rtl w:val="0"/>
          <w:lang w:val="en-US"/>
        </w:rPr>
        <w:t xml:space="preserve">kinetics experiments and other biophysical tools used to studying IMP binding </w:t>
      </w:r>
    </w:p>
    <w:p>
      <w:pPr>
        <w:pStyle w:val="Body A"/>
        <w:spacing w:line="360" w:lineRule="auto"/>
      </w:pPr>
      <w:r>
        <w:rPr>
          <w:rFonts w:ascii="Times" w:hAnsi="Times"/>
          <w:sz w:val="24"/>
          <w:szCs w:val="24"/>
          <w:rtl w:val="0"/>
          <w:lang w:val="en-US"/>
        </w:rPr>
        <w:t xml:space="preserve">suggest that </w:t>
      </w:r>
      <w:r>
        <w:rPr>
          <w:rFonts w:ascii="Times New Roman" w:hAnsi="Times New Roman"/>
          <w:sz w:val="24"/>
          <w:szCs w:val="24"/>
          <w:rtl w:val="0"/>
          <w:lang w:val="en-US"/>
        </w:rPr>
        <w:t xml:space="preserve">IMP binds PMM1 with high affinity and converts the enzyme activity from that of a mutase to a phosphatase, while PMM2 activity is unaffected by IMP.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