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398933" w14:textId="3C6E6FE8" w:rsidR="00AE3E37" w:rsidRDefault="00507E2A" w:rsidP="00AF6F88">
      <w:pPr>
        <w:pStyle w:val="Heading1"/>
        <w:tabs>
          <w:tab w:val="left" w:pos="1037"/>
        </w:tabs>
        <w:spacing w:before="170"/>
      </w:pPr>
      <w:r>
        <w:rPr>
          <w:color w:val="337AB7"/>
        </w:rPr>
        <w:t>Stem Cell Industry: Regulatory Developments, FDA Inspection and Enforcement, Legal Issues for Providers</w:t>
      </w:r>
    </w:p>
    <w:p w14:paraId="0F5142B2" w14:textId="6E5C2D80" w:rsidR="005973B9" w:rsidRDefault="00507E2A" w:rsidP="00CD772F">
      <w:pPr>
        <w:pStyle w:val="BodyText"/>
        <w:spacing w:after="0" w:line="198" w:lineRule="exact"/>
        <w:ind w:left="100" w:right="5987"/>
        <w:rPr>
          <w:rFonts w:ascii="Arial"/>
        </w:rPr>
      </w:pPr>
      <w:r>
        <w:rPr>
          <w:rFonts w:ascii="Arial"/>
        </w:rPr>
        <w:t>Matthew M. Fischer, Attorney at Law</w:t>
      </w:r>
    </w:p>
    <w:p w14:paraId="614A841B" w14:textId="4295449D" w:rsidR="00507E2A" w:rsidRDefault="00507E2A" w:rsidP="00CD772F">
      <w:pPr>
        <w:pStyle w:val="BodyText"/>
        <w:spacing w:after="0" w:line="198" w:lineRule="exact"/>
        <w:ind w:left="100" w:right="5987"/>
        <w:rPr>
          <w:rFonts w:ascii="Arial"/>
        </w:rPr>
      </w:pPr>
      <w:r>
        <w:rPr>
          <w:rFonts w:ascii="Arial"/>
        </w:rPr>
        <w:t>Florida Healthcare Law Firm</w:t>
      </w:r>
    </w:p>
    <w:p w14:paraId="70302A9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F2CF069" w14:textId="77777777" w:rsidR="00CD772F" w:rsidRDefault="00CD772F">
      <w:pPr>
        <w:pStyle w:val="Heading3"/>
        <w:spacing w:before="147"/>
        <w:jc w:val="both"/>
        <w:rPr>
          <w:color w:val="BF5A14"/>
        </w:rPr>
      </w:pPr>
    </w:p>
    <w:p w14:paraId="02DF8E20" w14:textId="60412B74" w:rsidR="00AE3E37" w:rsidRDefault="00A9710C">
      <w:pPr>
        <w:pStyle w:val="Heading3"/>
        <w:spacing w:before="147"/>
        <w:jc w:val="both"/>
      </w:pPr>
      <w:r>
        <w:rPr>
          <w:color w:val="BF5A14"/>
        </w:rPr>
        <w:t>Abstract</w:t>
      </w:r>
      <w:r w:rsidR="00404E5B">
        <w:rPr>
          <w:color w:val="BF5A14"/>
        </w:rPr>
        <w:t xml:space="preserve"> </w:t>
      </w:r>
    </w:p>
    <w:p w14:paraId="2896B325" w14:textId="7DBB167A" w:rsidR="00507E2A" w:rsidRDefault="00507E2A" w:rsidP="00507E2A">
      <w:pPr>
        <w:jc w:val="both"/>
        <w:rPr>
          <w:rFonts w:cs="Times New Roman"/>
          <w:sz w:val="18"/>
          <w:szCs w:val="18"/>
          <w:shd w:val="clear" w:color="auto" w:fill="FFFFFF"/>
        </w:rPr>
      </w:pPr>
      <w:r w:rsidRPr="00507E2A">
        <w:rPr>
          <w:rFonts w:cs="Times New Roman"/>
          <w:sz w:val="18"/>
          <w:szCs w:val="18"/>
        </w:rPr>
        <w:t xml:space="preserve">There are no off the shelf solutions when it comes to starting a new business or adding a new component to a practice.  </w:t>
      </w:r>
      <w:r w:rsidRPr="00507E2A">
        <w:rPr>
          <w:rFonts w:cs="Times New Roman"/>
          <w:sz w:val="18"/>
          <w:szCs w:val="18"/>
          <w:shd w:val="clear" w:color="auto" w:fill="FFFFFF"/>
        </w:rPr>
        <w:t xml:space="preserve">Between navigating regulations, receiving training, and marketing the service, there's a lot to address in a short time.  </w:t>
      </w:r>
      <w:r w:rsidRPr="00507E2A">
        <w:rPr>
          <w:rFonts w:cs="Times New Roman"/>
          <w:sz w:val="18"/>
          <w:szCs w:val="18"/>
        </w:rPr>
        <w:t>Trying to do it all yourself?  You may be a highly trained clinician, but given healthcare’s ever-changing regulatory environment, it is highly encouraged for providers to seek experienced counsel first.  To get started</w:t>
      </w:r>
      <w:r w:rsidRPr="00507E2A">
        <w:rPr>
          <w:rFonts w:cs="Times New Roman"/>
          <w:sz w:val="18"/>
          <w:szCs w:val="18"/>
          <w:shd w:val="clear" w:color="auto" w:fill="FFFFFF"/>
        </w:rPr>
        <w:t xml:space="preserve">, here is a short summary of what to expect.  </w:t>
      </w:r>
    </w:p>
    <w:p w14:paraId="5B47B4BD" w14:textId="219ADE58" w:rsidR="00507E2A" w:rsidRDefault="00507E2A" w:rsidP="00507E2A">
      <w:pPr>
        <w:jc w:val="both"/>
        <w:rPr>
          <w:rFonts w:cs="Times New Roman"/>
          <w:sz w:val="18"/>
          <w:szCs w:val="18"/>
        </w:rPr>
      </w:pPr>
      <w:r w:rsidRPr="00507E2A">
        <w:rPr>
          <w:rFonts w:cs="Times New Roman"/>
          <w:sz w:val="18"/>
          <w:szCs w:val="18"/>
        </w:rPr>
        <w:t xml:space="preserve">The first issue is always protection when starting a business or adding a new service.  Take the case of an orthopedic physician that wants to add stem cell treatments (e.g. PRP) to his or her practice.  The initial inclination is usually to create a new entity separate from the medical practice.  What the physician is unaware of is that this may create exposure to state self-referral laws.  Typically, under these types of laws, intent is not a requirement.  Therefore, is it important to determine if your state has this type of law and if so, how to structure the new venture before moving forward. </w:t>
      </w:r>
    </w:p>
    <w:p w14:paraId="11299148" w14:textId="1ACC96B5" w:rsidR="00507E2A" w:rsidRDefault="00507E2A" w:rsidP="00507E2A">
      <w:pPr>
        <w:jc w:val="both"/>
        <w:rPr>
          <w:rFonts w:cs="Times New Roman"/>
          <w:sz w:val="18"/>
          <w:szCs w:val="18"/>
          <w:shd w:val="clear" w:color="auto" w:fill="FFFFFF"/>
        </w:rPr>
      </w:pPr>
      <w:r w:rsidRPr="00507E2A">
        <w:rPr>
          <w:rFonts w:cs="Times New Roman"/>
          <w:sz w:val="18"/>
          <w:szCs w:val="18"/>
          <w:shd w:val="clear" w:color="auto" w:fill="FFFFFF"/>
        </w:rPr>
        <w:t xml:space="preserve">The FDA has the authority to regulate stem cell products.  Most products are regulated by the FDA as a HCT/P while others are not.  Many direct-to-consumer providers are unsure about what this means and need to know what they </w:t>
      </w:r>
      <w:proofErr w:type="gramStart"/>
      <w:r w:rsidRPr="00507E2A">
        <w:rPr>
          <w:rFonts w:cs="Times New Roman"/>
          <w:sz w:val="18"/>
          <w:szCs w:val="18"/>
          <w:shd w:val="clear" w:color="auto" w:fill="FFFFFF"/>
        </w:rPr>
        <w:t>are able to</w:t>
      </w:r>
      <w:proofErr w:type="gramEnd"/>
      <w:r w:rsidRPr="00507E2A">
        <w:rPr>
          <w:rFonts w:cs="Times New Roman"/>
          <w:sz w:val="18"/>
          <w:szCs w:val="18"/>
          <w:shd w:val="clear" w:color="auto" w:fill="FFFFFF"/>
        </w:rPr>
        <w:t xml:space="preserve"> do and say.  Thus, it is imperative to be up to date on the issues and know what boundaries have been set by the FDA.  </w:t>
      </w:r>
    </w:p>
    <w:p w14:paraId="459FFAC7" w14:textId="12B606EF" w:rsidR="00AE3E37" w:rsidRDefault="00507E2A" w:rsidP="00CD772F">
      <w:pPr>
        <w:jc w:val="both"/>
      </w:pPr>
      <w:r w:rsidRPr="00507E2A">
        <w:rPr>
          <w:rFonts w:cs="Times New Roman"/>
          <w:sz w:val="18"/>
          <w:szCs w:val="18"/>
          <w:shd w:val="clear" w:color="auto" w:fill="FFFFFF"/>
        </w:rPr>
        <w:t xml:space="preserve">With the rise of stem cell science and treatments, </w:t>
      </w:r>
      <w:r w:rsidRPr="00507E2A">
        <w:rPr>
          <w:rFonts w:cs="Times New Roman"/>
          <w:color w:val="444444"/>
          <w:sz w:val="18"/>
          <w:szCs w:val="18"/>
          <w:shd w:val="clear" w:color="auto" w:fill="FFFFFF"/>
        </w:rPr>
        <w:t>m</w:t>
      </w:r>
      <w:r w:rsidRPr="00507E2A">
        <w:rPr>
          <w:rFonts w:cs="Times New Roman"/>
          <w:sz w:val="18"/>
          <w:szCs w:val="18"/>
        </w:rPr>
        <w:t>any state boards have warned physicians that they could face potential disciplinary action f</w:t>
      </w:r>
      <w:r w:rsidRPr="00507E2A">
        <w:rPr>
          <w:rFonts w:cs="Times New Roman"/>
          <w:sz w:val="18"/>
          <w:szCs w:val="18"/>
          <w:shd w:val="clear" w:color="auto" w:fill="FFFFFF"/>
        </w:rPr>
        <w:t xml:space="preserve">or failing to meet the prevailing professional standard of care or for performing an experimental procedure without first obtaining full, informed consent.  Many physicians would like to have a mid-level practitioner (i.e. NP or PA) assist or provide injections.  Once again, state regulations need to be reviewed to determine who can provide treatments and what level of supervision is required.  </w:t>
      </w:r>
      <w:r w:rsidR="00A9710C">
        <w:br w:type="column"/>
      </w:r>
    </w:p>
    <w:p w14:paraId="25648C98"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6B6DC1C4" wp14:editId="4E0DA34A">
            <wp:simplePos x="0" y="0"/>
            <wp:positionH relativeFrom="page">
              <wp:posOffset>3886835</wp:posOffset>
            </wp:positionH>
            <wp:positionV relativeFrom="paragraph">
              <wp:posOffset>142875</wp:posOffset>
            </wp:positionV>
            <wp:extent cx="2414270" cy="1609725"/>
            <wp:effectExtent l="0" t="0" r="508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14270" cy="1609725"/>
                    </a:xfrm>
                    <a:prstGeom prst="rect">
                      <a:avLst/>
                    </a:prstGeom>
                  </pic:spPr>
                </pic:pic>
              </a:graphicData>
            </a:graphic>
            <wp14:sizeRelH relativeFrom="margin">
              <wp14:pctWidth>0</wp14:pctWidth>
            </wp14:sizeRelH>
          </wp:anchor>
        </w:drawing>
      </w:r>
    </w:p>
    <w:p w14:paraId="1D727711" w14:textId="4AE21919" w:rsidR="005973B9" w:rsidRDefault="005973B9" w:rsidP="005973B9">
      <w:pPr>
        <w:spacing w:line="204" w:lineRule="exact"/>
        <w:rPr>
          <w:rFonts w:ascii="Arial"/>
          <w:b/>
          <w:sz w:val="20"/>
        </w:rPr>
      </w:pPr>
      <w:r>
        <w:rPr>
          <w:rFonts w:ascii="Arial"/>
          <w:b/>
          <w:color w:val="BF5A14"/>
          <w:sz w:val="20"/>
        </w:rPr>
        <w:br/>
        <w:t xml:space="preserve">Recent Publications </w:t>
      </w:r>
    </w:p>
    <w:p w14:paraId="4B4E8477" w14:textId="33277490" w:rsidR="005973B9" w:rsidRPr="00CD772F" w:rsidRDefault="0020150B" w:rsidP="005973B9">
      <w:pPr>
        <w:pStyle w:val="ListParagraph"/>
        <w:numPr>
          <w:ilvl w:val="0"/>
          <w:numId w:val="3"/>
        </w:numPr>
        <w:tabs>
          <w:tab w:val="left" w:pos="384"/>
        </w:tabs>
        <w:spacing w:before="103" w:line="216" w:lineRule="exact"/>
        <w:ind w:right="138" w:hanging="283"/>
      </w:pPr>
      <w:r w:rsidRPr="00CD772F">
        <w:t>Blog</w:t>
      </w:r>
      <w:r w:rsidR="005973B9" w:rsidRPr="00CD772F">
        <w:t xml:space="preserve"> (20</w:t>
      </w:r>
      <w:r w:rsidRPr="00CD772F">
        <w:t>18</w:t>
      </w:r>
      <w:r w:rsidR="005973B9" w:rsidRPr="00CD772F">
        <w:t xml:space="preserve">) </w:t>
      </w:r>
      <w:r w:rsidR="005973B9" w:rsidRPr="00CD772F">
        <w:rPr>
          <w:b/>
        </w:rPr>
        <w:t xml:space="preserve">The </w:t>
      </w:r>
      <w:r w:rsidRPr="00CD772F">
        <w:rPr>
          <w:b/>
        </w:rPr>
        <w:t>Regenerative Medicine Fast Track: What is the RMAT Designation?</w:t>
      </w:r>
      <w:r w:rsidRPr="00CD772F">
        <w:t xml:space="preserve"> </w:t>
      </w:r>
    </w:p>
    <w:p w14:paraId="1E3CB967" w14:textId="0C933747" w:rsidR="005973B9" w:rsidRPr="00CD772F" w:rsidRDefault="005B6C47" w:rsidP="005973B9">
      <w:pPr>
        <w:pStyle w:val="ListParagraph"/>
        <w:numPr>
          <w:ilvl w:val="0"/>
          <w:numId w:val="3"/>
        </w:numPr>
        <w:tabs>
          <w:tab w:val="left" w:pos="384"/>
        </w:tabs>
        <w:spacing w:line="216" w:lineRule="exact"/>
        <w:ind w:right="137" w:hanging="283"/>
      </w:pPr>
      <w:r w:rsidRPr="00CD772F">
        <w:t>PRP News</w:t>
      </w:r>
      <w:r w:rsidR="005973B9" w:rsidRPr="00CD772F">
        <w:t xml:space="preserve"> (20</w:t>
      </w:r>
      <w:r w:rsidR="0020150B" w:rsidRPr="00CD772F">
        <w:t>18</w:t>
      </w:r>
      <w:r w:rsidR="005973B9" w:rsidRPr="00CD772F">
        <w:t xml:space="preserve">) </w:t>
      </w:r>
      <w:r w:rsidR="0020150B" w:rsidRPr="00CD772F">
        <w:rPr>
          <w:b/>
        </w:rPr>
        <w:t xml:space="preserve">Stem Cell Guidance </w:t>
      </w:r>
      <w:r w:rsidRPr="00CD772F">
        <w:rPr>
          <w:b/>
        </w:rPr>
        <w:t>Explained</w:t>
      </w:r>
      <w:r w:rsidR="0020150B" w:rsidRPr="00CD772F">
        <w:rPr>
          <w:b/>
        </w:rPr>
        <w:t>: 1271.10(a) Criteria vs. The Same Surgical Procedure Exception.</w:t>
      </w:r>
    </w:p>
    <w:p w14:paraId="1AA154AD" w14:textId="7B9516AA" w:rsidR="005973B9" w:rsidRPr="00CD772F" w:rsidRDefault="005B6C47" w:rsidP="005973B9">
      <w:pPr>
        <w:pStyle w:val="ListParagraph"/>
        <w:numPr>
          <w:ilvl w:val="0"/>
          <w:numId w:val="3"/>
        </w:numPr>
        <w:tabs>
          <w:tab w:val="left" w:pos="384"/>
        </w:tabs>
        <w:spacing w:line="216" w:lineRule="exact"/>
        <w:ind w:right="138" w:hanging="283"/>
        <w:rPr>
          <w:b/>
        </w:rPr>
      </w:pPr>
      <w:r w:rsidRPr="00CD772F">
        <w:t>Regenerative Medicine in the News</w:t>
      </w:r>
      <w:r w:rsidR="005973B9" w:rsidRPr="00CD772F">
        <w:t xml:space="preserve"> (20</w:t>
      </w:r>
      <w:r w:rsidRPr="00CD772F">
        <w:t>1</w:t>
      </w:r>
      <w:r w:rsidR="005973B9" w:rsidRPr="00CD772F">
        <w:t>8)</w:t>
      </w:r>
      <w:r w:rsidR="00507E2A" w:rsidRPr="00CD772F">
        <w:t xml:space="preserve"> </w:t>
      </w:r>
      <w:r w:rsidR="00507E2A" w:rsidRPr="00CD772F">
        <w:rPr>
          <w:b/>
        </w:rPr>
        <w:t>Stem Cell Business: Key Considerations for Providers</w:t>
      </w:r>
    </w:p>
    <w:p w14:paraId="636DD760" w14:textId="0EEAE927" w:rsidR="005973B9" w:rsidRPr="00CD772F" w:rsidRDefault="00507E2A" w:rsidP="00507E2A">
      <w:pPr>
        <w:pStyle w:val="ListParagraph"/>
        <w:numPr>
          <w:ilvl w:val="0"/>
          <w:numId w:val="3"/>
        </w:numPr>
        <w:tabs>
          <w:tab w:val="left" w:pos="384"/>
        </w:tabs>
        <w:spacing w:before="92" w:line="218" w:lineRule="exact"/>
        <w:ind w:hanging="283"/>
        <w:rPr>
          <w:rFonts w:ascii="Calibri"/>
        </w:rPr>
      </w:pPr>
      <w:r w:rsidRPr="00CD772F">
        <w:t>Blog</w:t>
      </w:r>
      <w:r w:rsidR="005973B9" w:rsidRPr="00CD772F">
        <w:t xml:space="preserve"> (20</w:t>
      </w:r>
      <w:r w:rsidRPr="00CD772F">
        <w:t>18</w:t>
      </w:r>
      <w:r w:rsidR="005973B9" w:rsidRPr="00CD772F">
        <w:t xml:space="preserve">) </w:t>
      </w:r>
      <w:r w:rsidRPr="00CD772F">
        <w:rPr>
          <w:b/>
        </w:rPr>
        <w:t>PRP Regulation: How is Platelet Rich Plasma Regulated by the FDA?</w:t>
      </w:r>
    </w:p>
    <w:p w14:paraId="07EC625C" w14:textId="0A8326F7" w:rsidR="005973B9" w:rsidRPr="00CD772F" w:rsidRDefault="005973B9" w:rsidP="005973B9">
      <w:pPr>
        <w:pStyle w:val="BodyText"/>
        <w:spacing w:before="85" w:line="216" w:lineRule="exact"/>
        <w:ind w:left="383" w:right="138" w:hanging="284"/>
        <w:jc w:val="both"/>
        <w:rPr>
          <w:rFonts w:ascii="Calibri" w:hAnsi="Calibri"/>
          <w:sz w:val="22"/>
          <w:szCs w:val="22"/>
        </w:rPr>
      </w:pPr>
      <w:r w:rsidRPr="00CD772F">
        <w:rPr>
          <w:rFonts w:ascii="Calibri" w:hAnsi="Calibri"/>
          <w:sz w:val="22"/>
          <w:szCs w:val="22"/>
        </w:rPr>
        <w:t xml:space="preserve">5. </w:t>
      </w:r>
      <w:r w:rsidR="00507E2A" w:rsidRPr="00CD772F">
        <w:rPr>
          <w:rFonts w:ascii="Calibri" w:hAnsi="Calibri"/>
          <w:sz w:val="22"/>
          <w:szCs w:val="22"/>
        </w:rPr>
        <w:t xml:space="preserve"> </w:t>
      </w:r>
      <w:r w:rsidR="00507E2A" w:rsidRPr="00CD772F">
        <w:rPr>
          <w:rFonts w:ascii="Calibri" w:hAnsi="Calibri"/>
          <w:sz w:val="22"/>
          <w:szCs w:val="22"/>
        </w:rPr>
        <w:tab/>
        <w:t>Blog</w:t>
      </w:r>
      <w:r w:rsidRPr="00CD772F">
        <w:rPr>
          <w:rFonts w:ascii="Calibri" w:hAnsi="Calibri"/>
          <w:sz w:val="22"/>
          <w:szCs w:val="22"/>
        </w:rPr>
        <w:t xml:space="preserve"> (2008) </w:t>
      </w:r>
      <w:r w:rsidR="00507E2A" w:rsidRPr="00CD772F">
        <w:rPr>
          <w:rFonts w:ascii="Calibri" w:hAnsi="Calibri"/>
          <w:b/>
          <w:sz w:val="22"/>
          <w:szCs w:val="22"/>
        </w:rPr>
        <w:t>The FDA Inspection and Enforcement Process: A Guide for HCT/P Manufacturers and Providers</w:t>
      </w:r>
    </w:p>
    <w:p w14:paraId="128606CB" w14:textId="77777777" w:rsidR="00AE3E37" w:rsidRPr="008756E6" w:rsidRDefault="00AE3E37" w:rsidP="008756E6">
      <w:pPr>
        <w:tabs>
          <w:tab w:val="left" w:pos="384"/>
        </w:tabs>
        <w:ind w:right="117"/>
      </w:pPr>
    </w:p>
    <w:p w14:paraId="3ABF430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67B66F7" w14:textId="77777777" w:rsidR="00AE3E37" w:rsidRDefault="00AE3E37">
      <w:pPr>
        <w:pStyle w:val="BodyText"/>
        <w:rPr>
          <w:rFonts w:ascii="Calibri"/>
          <w:sz w:val="20"/>
        </w:rPr>
      </w:pPr>
    </w:p>
    <w:p w14:paraId="572A027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E7ECA92" wp14:editId="012DF6D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F21C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4C1DF0D" w14:textId="4494182C" w:rsidR="00AE3E37" w:rsidRPr="00CD772F" w:rsidRDefault="00507E2A" w:rsidP="00404E5B">
      <w:pPr>
        <w:spacing w:before="92"/>
        <w:ind w:right="4234"/>
        <w:rPr>
          <w:noProof/>
        </w:rPr>
      </w:pPr>
      <w:r>
        <w:rPr>
          <w:noProof/>
        </w:rPr>
        <w:drawing>
          <wp:anchor distT="0" distB="0" distL="114300" distR="114300" simplePos="0" relativeHeight="251659264" behindDoc="0" locked="0" layoutInCell="1" allowOverlap="1" wp14:anchorId="61E37603" wp14:editId="569FB9A5">
            <wp:simplePos x="0" y="0"/>
            <wp:positionH relativeFrom="column">
              <wp:posOffset>158750</wp:posOffset>
            </wp:positionH>
            <wp:positionV relativeFrom="paragraph">
              <wp:posOffset>1270</wp:posOffset>
            </wp:positionV>
            <wp:extent cx="848360" cy="678815"/>
            <wp:effectExtent l="0" t="0" r="889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48360" cy="678815"/>
                    </a:xfrm>
                    <a:prstGeom prst="rect">
                      <a:avLst/>
                    </a:prstGeom>
                    <a:noFill/>
                    <a:ln>
                      <a:noFill/>
                    </a:ln>
                  </pic:spPr>
                </pic:pic>
              </a:graphicData>
            </a:graphic>
          </wp:anchor>
        </w:drawing>
      </w:r>
      <w:r w:rsidR="00A9710C">
        <w:rPr>
          <w:rFonts w:ascii="Arial"/>
          <w:color w:val="BF5A14"/>
        </w:rPr>
        <w:t>Biography</w:t>
      </w:r>
      <w:r w:rsidR="00404E5B">
        <w:rPr>
          <w:rFonts w:ascii="Arial"/>
          <w:color w:val="BF5A14"/>
        </w:rPr>
        <w:t xml:space="preserve"> </w:t>
      </w:r>
    </w:p>
    <w:p w14:paraId="1514B4D7" w14:textId="3B5C9C2D" w:rsidR="002F1FFE" w:rsidRDefault="00507E2A" w:rsidP="00507E2A">
      <w:pPr>
        <w:spacing w:before="41" w:line="154" w:lineRule="exact"/>
        <w:ind w:left="213" w:right="231"/>
        <w:jc w:val="both"/>
        <w:rPr>
          <w:rFonts w:ascii="Arial"/>
          <w:sz w:val="14"/>
        </w:rPr>
      </w:pPr>
      <w:r>
        <w:rPr>
          <w:rFonts w:ascii="Arial"/>
          <w:sz w:val="14"/>
        </w:rPr>
        <w:t xml:space="preserve">Matthew Fischer is a former government attorney with a passion for the emerging stem cell industry. </w:t>
      </w:r>
      <w:r w:rsidRPr="00507E2A">
        <w:rPr>
          <w:rFonts w:ascii="Arial" w:hAnsi="Arial" w:cs="Arial"/>
          <w:sz w:val="14"/>
          <w:szCs w:val="14"/>
        </w:rPr>
        <w:t>Prior to joining the firm, Matthew served as a Senior Attorney Advisor in the U.S. Department of Health and Human Services, Office of Medicare Hearings and Appeals.  He advised federal administrative law judges (ALJs) on reimbursement appeals, including Medicare contractor overpayment audits (i.e., RAC, ZPIC, and PSC), statistical sampling extrapolation issues, Medicare Part D exceptions, and secondary payer appeals.</w:t>
      </w:r>
      <w:r>
        <w:t xml:space="preserve"> </w:t>
      </w:r>
      <w:r>
        <w:rPr>
          <w:rFonts w:ascii="Arial"/>
          <w:sz w:val="14"/>
        </w:rPr>
        <w:t xml:space="preserve"> His current practice is concentrated in healthcare with a strong focus on stem cell regulatory development and enforcement. </w:t>
      </w:r>
    </w:p>
    <w:p w14:paraId="566A5546" w14:textId="4566CEC8" w:rsidR="00AE3E37" w:rsidRPr="00CD772F" w:rsidRDefault="00E026C8" w:rsidP="00CD772F">
      <w:pPr>
        <w:spacing w:before="62" w:after="0"/>
        <w:ind w:right="4235"/>
        <w:jc w:val="both"/>
        <w:rPr>
          <w:sz w:val="16"/>
          <w:szCs w:val="16"/>
        </w:rPr>
      </w:pPr>
      <w:r w:rsidRPr="00CD772F">
        <w:rPr>
          <w:sz w:val="16"/>
          <w:szCs w:val="16"/>
        </w:rPr>
        <w:t>E</w:t>
      </w:r>
      <w:r w:rsidR="002F1FFE" w:rsidRPr="00CD772F">
        <w:rPr>
          <w:sz w:val="16"/>
          <w:szCs w:val="16"/>
        </w:rPr>
        <w:t>mail:</w:t>
      </w:r>
      <w:r w:rsidR="00507E2A" w:rsidRPr="00CD772F">
        <w:rPr>
          <w:sz w:val="16"/>
          <w:szCs w:val="16"/>
        </w:rPr>
        <w:t xml:space="preserve"> </w:t>
      </w:r>
      <w:hyperlink r:id="rId11" w:history="1">
        <w:r w:rsidR="00507E2A" w:rsidRPr="00CD772F">
          <w:rPr>
            <w:rStyle w:val="Hyperlink"/>
            <w:sz w:val="16"/>
            <w:szCs w:val="16"/>
          </w:rPr>
          <w:t>matt@floridahealthcarelawfirm.com</w:t>
        </w:r>
      </w:hyperlink>
      <w:r w:rsidR="00507E2A" w:rsidRPr="00CD772F">
        <w:rPr>
          <w:sz w:val="16"/>
          <w:szCs w:val="16"/>
        </w:rPr>
        <w:t xml:space="preserve">  </w:t>
      </w:r>
    </w:p>
    <w:p w14:paraId="48564EF9" w14:textId="5AFE7FF8" w:rsidR="002F1FFE" w:rsidRPr="00CD772F" w:rsidRDefault="002F1FFE" w:rsidP="00CD772F">
      <w:pPr>
        <w:spacing w:before="62" w:after="0"/>
        <w:ind w:right="4235"/>
        <w:jc w:val="both"/>
        <w:rPr>
          <w:sz w:val="16"/>
          <w:szCs w:val="16"/>
        </w:rPr>
      </w:pPr>
      <w:r w:rsidRPr="00CD772F">
        <w:rPr>
          <w:sz w:val="16"/>
          <w:szCs w:val="16"/>
        </w:rPr>
        <w:t xml:space="preserve">Contact no: </w:t>
      </w:r>
      <w:r w:rsidR="00507E2A" w:rsidRPr="00CD772F">
        <w:rPr>
          <w:sz w:val="16"/>
          <w:szCs w:val="16"/>
        </w:rPr>
        <w:t>561-455-7700</w:t>
      </w:r>
    </w:p>
    <w:p w14:paraId="22E400EC" w14:textId="72B7A89C" w:rsidR="002F1FFE" w:rsidRPr="00CD772F" w:rsidRDefault="002F1FFE" w:rsidP="00CD772F">
      <w:pPr>
        <w:spacing w:before="62" w:after="0"/>
        <w:ind w:right="4235"/>
        <w:jc w:val="both"/>
        <w:rPr>
          <w:sz w:val="16"/>
          <w:szCs w:val="16"/>
        </w:rPr>
      </w:pPr>
      <w:r w:rsidRPr="00CD772F">
        <w:rPr>
          <w:sz w:val="16"/>
          <w:szCs w:val="16"/>
        </w:rPr>
        <w:t xml:space="preserve">LinkedIn account: </w:t>
      </w:r>
      <w:hyperlink r:id="rId12" w:history="1">
        <w:r w:rsidR="00507E2A" w:rsidRPr="00CD772F">
          <w:rPr>
            <w:rStyle w:val="Hyperlink"/>
            <w:sz w:val="16"/>
            <w:szCs w:val="16"/>
          </w:rPr>
          <w:t>https://www.linkedin.com/in/matthew-fischer-28624393/</w:t>
        </w:r>
      </w:hyperlink>
      <w:r w:rsidR="00507E2A" w:rsidRPr="00CD772F">
        <w:rPr>
          <w:sz w:val="16"/>
          <w:szCs w:val="16"/>
        </w:rPr>
        <w:t xml:space="preserve"> </w:t>
      </w:r>
    </w:p>
    <w:p w14:paraId="20042A63" w14:textId="37F8A7F0" w:rsidR="002F1FFE" w:rsidRPr="00CD772F" w:rsidRDefault="002F1FFE" w:rsidP="00CD772F">
      <w:pPr>
        <w:spacing w:before="62" w:after="0"/>
        <w:ind w:right="4235"/>
        <w:jc w:val="both"/>
        <w:rPr>
          <w:sz w:val="20"/>
          <w:szCs w:val="20"/>
        </w:rPr>
      </w:pPr>
      <w:r w:rsidRPr="00CD772F">
        <w:rPr>
          <w:sz w:val="20"/>
          <w:szCs w:val="20"/>
        </w:rPr>
        <w:t xml:space="preserve">Category: Oral </w:t>
      </w:r>
    </w:p>
    <w:p w14:paraId="1B6FE98A" w14:textId="2A6C01D4" w:rsidR="00AE3E37" w:rsidRPr="00CD772F" w:rsidRDefault="00A9710C" w:rsidP="00CD772F">
      <w:pPr>
        <w:pStyle w:val="BodyText"/>
        <w:spacing w:before="2"/>
        <w:jc w:val="both"/>
        <w:rPr>
          <w:sz w:val="20"/>
          <w:szCs w:val="20"/>
        </w:rPr>
        <w:sectPr w:rsidR="00AE3E37" w:rsidRPr="00CD772F">
          <w:type w:val="continuous"/>
          <w:pgSz w:w="11910" w:h="16840"/>
          <w:pgMar w:top="1740" w:right="600" w:bottom="840" w:left="620" w:header="720" w:footer="720" w:gutter="0"/>
          <w:cols w:space="720"/>
        </w:sectPr>
      </w:pPr>
      <w:r w:rsidRPr="00CD772F">
        <w:rPr>
          <w:b/>
          <w:sz w:val="20"/>
          <w:szCs w:val="20"/>
        </w:rPr>
        <w:t>Notes/Comments:</w:t>
      </w:r>
      <w:r w:rsidR="00CD772F" w:rsidRPr="00CD772F">
        <w:rPr>
          <w:b/>
          <w:sz w:val="20"/>
          <w:szCs w:val="20"/>
        </w:rPr>
        <w:t xml:space="preserve"> </w:t>
      </w:r>
      <w:proofErr w:type="gramStart"/>
      <w:r w:rsidR="00CD772F" w:rsidRPr="00CD772F">
        <w:rPr>
          <w:sz w:val="20"/>
          <w:szCs w:val="20"/>
        </w:rPr>
        <w:t>Also</w:t>
      </w:r>
      <w:proofErr w:type="gramEnd"/>
      <w:r w:rsidR="00CD772F" w:rsidRPr="00CD772F">
        <w:rPr>
          <w:sz w:val="20"/>
          <w:szCs w:val="20"/>
        </w:rPr>
        <w:t xml:space="preserve"> able to incorporate any of the content from personal writings into presentation. </w:t>
      </w:r>
    </w:p>
    <w:p w14:paraId="2F5F05C9" w14:textId="77777777"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D65F91" w14:textId="77777777" w:rsidR="00DA584F" w:rsidRDefault="00DA584F">
      <w:r>
        <w:separator/>
      </w:r>
    </w:p>
  </w:endnote>
  <w:endnote w:type="continuationSeparator" w:id="0">
    <w:p w14:paraId="02D649B1" w14:textId="77777777" w:rsidR="00DA584F" w:rsidRDefault="00DA5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BC75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02A73FE" wp14:editId="47B098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085E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4CD1C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2A73F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8F085E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4CD1C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CDB817F" wp14:editId="6C03C3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0F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E71B2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B817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6490F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E71B2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76BE6DC" wp14:editId="318478C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246D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175964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BE6D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A5246D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175964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B51FA" w14:textId="77777777" w:rsidR="00DA584F" w:rsidRDefault="00DA584F">
      <w:r>
        <w:separator/>
      </w:r>
    </w:p>
  </w:footnote>
  <w:footnote w:type="continuationSeparator" w:id="0">
    <w:p w14:paraId="2D73DD96" w14:textId="77777777" w:rsidR="00DA584F" w:rsidRDefault="00DA58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1D48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F0F10F8" wp14:editId="300ADD2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AA25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F10F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21AA25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BD2D9BE" wp14:editId="52F806D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D162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A6EF2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2D9B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7DD162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A6EF2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03FA037A"/>
    <w:lvl w:ilvl="0" w:tplc="A67A2348">
      <w:start w:val="1"/>
      <w:numFmt w:val="decimal"/>
      <w:lvlText w:val="%1."/>
      <w:lvlJc w:val="left"/>
      <w:pPr>
        <w:ind w:left="383" w:hanging="284"/>
      </w:pPr>
      <w:rPr>
        <w:rFonts w:ascii="Calibri" w:eastAsia="Calibri" w:hAnsi="Calibri" w:cs="Calibri" w:hint="default"/>
        <w:b w:val="0"/>
        <w:spacing w:val="-16"/>
        <w:w w:val="100"/>
        <w:sz w:val="22"/>
        <w:szCs w:val="22"/>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F083C"/>
    <w:rsid w:val="00100C09"/>
    <w:rsid w:val="0010315B"/>
    <w:rsid w:val="001263DF"/>
    <w:rsid w:val="001872E1"/>
    <w:rsid w:val="0020150B"/>
    <w:rsid w:val="00292ED9"/>
    <w:rsid w:val="002F1FFE"/>
    <w:rsid w:val="00404E5B"/>
    <w:rsid w:val="00414F7B"/>
    <w:rsid w:val="004355DC"/>
    <w:rsid w:val="00454B29"/>
    <w:rsid w:val="004749B4"/>
    <w:rsid w:val="00494130"/>
    <w:rsid w:val="004F3523"/>
    <w:rsid w:val="00507E2A"/>
    <w:rsid w:val="00573FEF"/>
    <w:rsid w:val="005973B9"/>
    <w:rsid w:val="005B3A56"/>
    <w:rsid w:val="005B6C47"/>
    <w:rsid w:val="005C2E90"/>
    <w:rsid w:val="006060CE"/>
    <w:rsid w:val="0063497F"/>
    <w:rsid w:val="00732CE6"/>
    <w:rsid w:val="00751865"/>
    <w:rsid w:val="00873DF0"/>
    <w:rsid w:val="008756E6"/>
    <w:rsid w:val="009B2D44"/>
    <w:rsid w:val="00A018C2"/>
    <w:rsid w:val="00A07E82"/>
    <w:rsid w:val="00A33ADC"/>
    <w:rsid w:val="00A66523"/>
    <w:rsid w:val="00A9710C"/>
    <w:rsid w:val="00AE3E37"/>
    <w:rsid w:val="00AF6F88"/>
    <w:rsid w:val="00B0281C"/>
    <w:rsid w:val="00B21A57"/>
    <w:rsid w:val="00BE257E"/>
    <w:rsid w:val="00C33602"/>
    <w:rsid w:val="00CD6F55"/>
    <w:rsid w:val="00CD772F"/>
    <w:rsid w:val="00DA584F"/>
    <w:rsid w:val="00DE3104"/>
    <w:rsid w:val="00E026C8"/>
    <w:rsid w:val="00E072F3"/>
    <w:rsid w:val="00E64519"/>
    <w:rsid w:val="00E64F90"/>
    <w:rsid w:val="00EC3AA9"/>
    <w:rsid w:val="00F6538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D9217E"/>
  <w15:docId w15:val="{F115287C-321C-4581-A338-EC6D56004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E2A"/>
  </w:style>
  <w:style w:type="paragraph" w:styleId="Heading1">
    <w:name w:val="heading 1"/>
    <w:basedOn w:val="Normal"/>
    <w:next w:val="Normal"/>
    <w:link w:val="Heading1Char"/>
    <w:uiPriority w:val="9"/>
    <w:qFormat/>
    <w:rsid w:val="00507E2A"/>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507E2A"/>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07E2A"/>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07E2A"/>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507E2A"/>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507E2A"/>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507E2A"/>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507E2A"/>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507E2A"/>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sid w:val="00CD6F55"/>
    <w:rPr>
      <w:sz w:val="18"/>
      <w:szCs w:val="18"/>
    </w:rPr>
  </w:style>
  <w:style w:type="paragraph" w:styleId="ListParagraph">
    <w:name w:val="List Paragraph"/>
    <w:basedOn w:val="Normal"/>
    <w:uiPriority w:val="34"/>
    <w:qFormat/>
    <w:rsid w:val="00CD6F55"/>
    <w:pPr>
      <w:ind w:left="720"/>
      <w:contextualSpacing/>
    </w:pPr>
  </w:style>
  <w:style w:type="paragraph" w:customStyle="1" w:styleId="TableParagraph">
    <w:name w:val="Table Paragraph"/>
    <w:basedOn w:val="Normal"/>
    <w:uiPriority w:val="1"/>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07E2A"/>
    <w:rPr>
      <w:color w:val="808080"/>
      <w:shd w:val="clear" w:color="auto" w:fill="E6E6E6"/>
    </w:rPr>
  </w:style>
  <w:style w:type="character" w:customStyle="1" w:styleId="Heading1Char">
    <w:name w:val="Heading 1 Char"/>
    <w:basedOn w:val="DefaultParagraphFont"/>
    <w:link w:val="Heading1"/>
    <w:uiPriority w:val="9"/>
    <w:rsid w:val="00507E2A"/>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507E2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507E2A"/>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07E2A"/>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507E2A"/>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507E2A"/>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507E2A"/>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507E2A"/>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507E2A"/>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507E2A"/>
    <w:pPr>
      <w:spacing w:line="240" w:lineRule="auto"/>
    </w:pPr>
    <w:rPr>
      <w:b/>
      <w:bCs/>
      <w:smallCaps/>
      <w:color w:val="1F497D" w:themeColor="text2"/>
    </w:rPr>
  </w:style>
  <w:style w:type="paragraph" w:styleId="Title">
    <w:name w:val="Title"/>
    <w:basedOn w:val="Normal"/>
    <w:next w:val="Normal"/>
    <w:link w:val="TitleChar"/>
    <w:uiPriority w:val="10"/>
    <w:qFormat/>
    <w:rsid w:val="00507E2A"/>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507E2A"/>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507E2A"/>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507E2A"/>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507E2A"/>
    <w:rPr>
      <w:b/>
      <w:bCs/>
    </w:rPr>
  </w:style>
  <w:style w:type="character" w:styleId="Emphasis">
    <w:name w:val="Emphasis"/>
    <w:basedOn w:val="DefaultParagraphFont"/>
    <w:uiPriority w:val="20"/>
    <w:qFormat/>
    <w:rsid w:val="00507E2A"/>
    <w:rPr>
      <w:i/>
      <w:iCs/>
    </w:rPr>
  </w:style>
  <w:style w:type="paragraph" w:styleId="NoSpacing">
    <w:name w:val="No Spacing"/>
    <w:uiPriority w:val="1"/>
    <w:qFormat/>
    <w:rsid w:val="00507E2A"/>
    <w:pPr>
      <w:spacing w:after="0" w:line="240" w:lineRule="auto"/>
    </w:pPr>
  </w:style>
  <w:style w:type="paragraph" w:styleId="Quote">
    <w:name w:val="Quote"/>
    <w:basedOn w:val="Normal"/>
    <w:next w:val="Normal"/>
    <w:link w:val="QuoteChar"/>
    <w:uiPriority w:val="29"/>
    <w:qFormat/>
    <w:rsid w:val="00507E2A"/>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507E2A"/>
    <w:rPr>
      <w:color w:val="1F497D" w:themeColor="text2"/>
      <w:sz w:val="24"/>
      <w:szCs w:val="24"/>
    </w:rPr>
  </w:style>
  <w:style w:type="paragraph" w:styleId="IntenseQuote">
    <w:name w:val="Intense Quote"/>
    <w:basedOn w:val="Normal"/>
    <w:next w:val="Normal"/>
    <w:link w:val="IntenseQuoteChar"/>
    <w:uiPriority w:val="30"/>
    <w:qFormat/>
    <w:rsid w:val="00507E2A"/>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507E2A"/>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507E2A"/>
    <w:rPr>
      <w:i/>
      <w:iCs/>
      <w:color w:val="595959" w:themeColor="text1" w:themeTint="A6"/>
    </w:rPr>
  </w:style>
  <w:style w:type="character" w:styleId="IntenseEmphasis">
    <w:name w:val="Intense Emphasis"/>
    <w:basedOn w:val="DefaultParagraphFont"/>
    <w:uiPriority w:val="21"/>
    <w:qFormat/>
    <w:rsid w:val="00507E2A"/>
    <w:rPr>
      <w:b/>
      <w:bCs/>
      <w:i/>
      <w:iCs/>
    </w:rPr>
  </w:style>
  <w:style w:type="character" w:styleId="SubtleReference">
    <w:name w:val="Subtle Reference"/>
    <w:basedOn w:val="DefaultParagraphFont"/>
    <w:uiPriority w:val="31"/>
    <w:qFormat/>
    <w:rsid w:val="00507E2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07E2A"/>
    <w:rPr>
      <w:b/>
      <w:bCs/>
      <w:smallCaps/>
      <w:color w:val="1F497D" w:themeColor="text2"/>
      <w:u w:val="single"/>
    </w:rPr>
  </w:style>
  <w:style w:type="character" w:styleId="BookTitle">
    <w:name w:val="Book Title"/>
    <w:basedOn w:val="DefaultParagraphFont"/>
    <w:uiPriority w:val="33"/>
    <w:qFormat/>
    <w:rsid w:val="00507E2A"/>
    <w:rPr>
      <w:b/>
      <w:bCs/>
      <w:smallCaps/>
      <w:spacing w:val="10"/>
    </w:rPr>
  </w:style>
  <w:style w:type="paragraph" w:styleId="TOCHeading">
    <w:name w:val="TOC Heading"/>
    <w:basedOn w:val="Heading1"/>
    <w:next w:val="Normal"/>
    <w:uiPriority w:val="39"/>
    <w:semiHidden/>
    <w:unhideWhenUsed/>
    <w:qFormat/>
    <w:rsid w:val="00507E2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110202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linkedin.com/in/matthew-fischer-286243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tt@floridahealthcarelawfirm.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Autumn</cp:lastModifiedBy>
  <cp:revision>3</cp:revision>
  <dcterms:created xsi:type="dcterms:W3CDTF">2018-03-23T17:27:00Z</dcterms:created>
  <dcterms:modified xsi:type="dcterms:W3CDTF">2018-03-23T17:28:00Z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