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480"/>
        <w:ind w:right="0" w:left="0" w:firstLine="0"/>
        <w:jc w:val="center"/>
        <w:rPr>
          <w:rFonts w:ascii="Times New Roman" w:hAnsi="Times New Roman" w:cs="Times New Roman" w:eastAsia="Times New Roman"/>
          <w:b/>
          <w:color w:val="000000"/>
          <w:spacing w:val="0"/>
          <w:position w:val="0"/>
          <w:sz w:val="24"/>
          <w:shd w:fill="auto" w:val="clear"/>
        </w:rPr>
      </w:pPr>
      <w:r>
        <w:rPr>
          <w:rFonts w:ascii="Calibri" w:hAnsi="Calibri" w:cs="Calibri" w:eastAsia="Calibri"/>
          <w:b/>
          <w:color w:val="auto"/>
          <w:spacing w:val="0"/>
          <w:position w:val="0"/>
          <w:sz w:val="28"/>
          <w:shd w:fill="auto" w:val="clear"/>
        </w:rPr>
        <w:t xml:space="preserve"> </w:t>
      </w:r>
      <w:r>
        <w:rPr>
          <w:rFonts w:ascii="Times New Roman" w:hAnsi="Times New Roman" w:cs="Times New Roman" w:eastAsia="Times New Roman"/>
          <w:b/>
          <w:color w:val="000000"/>
          <w:spacing w:val="0"/>
          <w:position w:val="0"/>
          <w:sz w:val="24"/>
          <w:shd w:fill="auto" w:val="clear"/>
        </w:rPr>
        <w:t xml:space="preserve">Bank Risks and Performance in the MENA Region -The Importance of the Capital Requirements</w:t>
      </w:r>
    </w:p>
    <w:p>
      <w:pPr>
        <w:spacing w:before="0" w:after="200" w:line="48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Corresponding author</w:t>
      </w:r>
    </w:p>
    <w:p>
      <w:pPr>
        <w:spacing w:before="0" w:after="200" w:line="276"/>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Khaldoun M. Al-Qaisi, Ph.D.</w:t>
      </w:r>
    </w:p>
    <w:p>
      <w:pPr>
        <w:spacing w:before="0" w:after="200" w:line="276"/>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Associate Professor of finance, Faculty of Business, Finance department,    </w:t>
      </w:r>
    </w:p>
    <w:p>
      <w:pPr>
        <w:spacing w:before="0" w:after="200" w:line="276"/>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Al-Zaytoonah University of Jordan                                                </w:t>
      </w:r>
    </w:p>
    <w:p>
      <w:pPr>
        <w:spacing w:before="0" w:after="200" w:line="276"/>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Address: Khalda P.O.BOX: 113, code 11821</w:t>
      </w:r>
    </w:p>
    <w:p>
      <w:pPr>
        <w:spacing w:before="0" w:after="200" w:line="276"/>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Phone: Mobile 00962-795513444</w:t>
      </w:r>
    </w:p>
    <w:p>
      <w:pPr>
        <w:spacing w:before="0" w:after="200" w:line="276"/>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E-Mail Address: khaldoun_21@yahoo.com</w:t>
      </w:r>
    </w:p>
    <w:p>
      <w:pPr>
        <w:spacing w:before="0" w:after="200" w:line="360"/>
        <w:ind w:right="0" w:left="0" w:firstLine="0"/>
        <w:jc w:val="center"/>
        <w:rPr>
          <w:rFonts w:ascii="Calibri" w:hAnsi="Calibri" w:cs="Calibri" w:eastAsia="Calibri"/>
          <w:b/>
          <w:color w:val="auto"/>
          <w:spacing w:val="0"/>
          <w:position w:val="0"/>
          <w:sz w:val="32"/>
          <w:shd w:fill="auto" w:val="clear"/>
        </w:rPr>
      </w:pPr>
    </w:p>
    <w:p>
      <w:pPr>
        <w:spacing w:before="0" w:after="200" w:line="360"/>
        <w:ind w:right="0" w:left="0" w:firstLine="0"/>
        <w:jc w:val="center"/>
        <w:rPr>
          <w:rFonts w:ascii="Calibri" w:hAnsi="Calibri" w:cs="Calibri" w:eastAsia="Calibri"/>
          <w:b/>
          <w:color w:val="auto"/>
          <w:spacing w:val="0"/>
          <w:position w:val="0"/>
          <w:sz w:val="32"/>
          <w:shd w:fill="auto" w:val="clear"/>
        </w:rPr>
      </w:pPr>
    </w:p>
    <w:p>
      <w:pPr>
        <w:spacing w:before="0" w:after="200" w:line="360"/>
        <w:ind w:right="0" w:left="0" w:firstLine="0"/>
        <w:jc w:val="center"/>
        <w:rPr>
          <w:rFonts w:ascii="Calibri" w:hAnsi="Calibri" w:cs="Calibri" w:eastAsia="Calibri"/>
          <w:b/>
          <w:color w:val="auto"/>
          <w:spacing w:val="0"/>
          <w:position w:val="0"/>
          <w:sz w:val="32"/>
          <w:shd w:fill="auto" w:val="clear"/>
        </w:rPr>
      </w:pPr>
    </w:p>
    <w:p>
      <w:pPr>
        <w:spacing w:before="0" w:after="200" w:line="360"/>
        <w:ind w:right="0" w:left="0" w:firstLine="0"/>
        <w:jc w:val="center"/>
        <w:rPr>
          <w:rFonts w:ascii="Calibri" w:hAnsi="Calibri" w:cs="Calibri" w:eastAsia="Calibri"/>
          <w:b/>
          <w:color w:val="auto"/>
          <w:spacing w:val="0"/>
          <w:position w:val="0"/>
          <w:sz w:val="32"/>
          <w:shd w:fill="auto" w:val="clear"/>
        </w:rPr>
      </w:pPr>
    </w:p>
    <w:p>
      <w:pPr>
        <w:spacing w:before="0" w:after="200" w:line="360"/>
        <w:ind w:right="0" w:left="0" w:firstLine="0"/>
        <w:jc w:val="center"/>
        <w:rPr>
          <w:rFonts w:ascii="Calibri" w:hAnsi="Calibri" w:cs="Calibri" w:eastAsia="Calibri"/>
          <w:b/>
          <w:color w:val="auto"/>
          <w:spacing w:val="0"/>
          <w:position w:val="0"/>
          <w:sz w:val="32"/>
          <w:shd w:fill="auto" w:val="clear"/>
        </w:rPr>
      </w:pPr>
    </w:p>
    <w:p>
      <w:pPr>
        <w:spacing w:before="0" w:after="200" w:line="360"/>
        <w:ind w:right="0" w:left="0" w:firstLine="0"/>
        <w:jc w:val="center"/>
        <w:rPr>
          <w:rFonts w:ascii="Calibri" w:hAnsi="Calibri" w:cs="Calibri" w:eastAsia="Calibri"/>
          <w:b/>
          <w:color w:val="auto"/>
          <w:spacing w:val="0"/>
          <w:position w:val="0"/>
          <w:sz w:val="32"/>
          <w:shd w:fill="auto" w:val="clear"/>
        </w:rPr>
      </w:pPr>
    </w:p>
    <w:p>
      <w:pPr>
        <w:spacing w:before="0" w:after="200" w:line="360"/>
        <w:ind w:right="0" w:left="0" w:firstLine="0"/>
        <w:jc w:val="center"/>
        <w:rPr>
          <w:rFonts w:ascii="Calibri" w:hAnsi="Calibri" w:cs="Calibri" w:eastAsia="Calibri"/>
          <w:b/>
          <w:color w:val="auto"/>
          <w:spacing w:val="0"/>
          <w:position w:val="0"/>
          <w:sz w:val="32"/>
          <w:shd w:fill="auto" w:val="clear"/>
        </w:rPr>
      </w:pPr>
    </w:p>
    <w:p>
      <w:pPr>
        <w:spacing w:before="0" w:after="200" w:line="360"/>
        <w:ind w:right="0" w:left="0" w:firstLine="0"/>
        <w:jc w:val="center"/>
        <w:rPr>
          <w:rFonts w:ascii="Calibri" w:hAnsi="Calibri" w:cs="Calibri" w:eastAsia="Calibri"/>
          <w:b/>
          <w:color w:val="auto"/>
          <w:spacing w:val="0"/>
          <w:position w:val="0"/>
          <w:sz w:val="32"/>
          <w:shd w:fill="auto" w:val="clear"/>
        </w:rPr>
      </w:pPr>
    </w:p>
    <w:p>
      <w:pPr>
        <w:spacing w:before="0" w:after="200" w:line="360"/>
        <w:ind w:right="0" w:left="0" w:firstLine="0"/>
        <w:jc w:val="both"/>
        <w:rPr>
          <w:rFonts w:ascii="Calibri" w:hAnsi="Calibri" w:cs="Calibri" w:eastAsia="Calibri"/>
          <w:color w:val="auto"/>
          <w:spacing w:val="0"/>
          <w:position w:val="0"/>
          <w:sz w:val="28"/>
          <w:shd w:fill="auto" w:val="clear"/>
        </w:rPr>
      </w:pPr>
    </w:p>
    <w:p>
      <w:pPr>
        <w:spacing w:before="0" w:after="200" w:line="360"/>
        <w:ind w:right="0" w:left="0" w:firstLine="0"/>
        <w:jc w:val="both"/>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Abstract:</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This research paper is known to greatly benefit from numerous risk as well as the non-risk based “regulatory ratios” as well as the examination of the impact that they pose on not only the bank risks but also on their performance in both the “Middle East and North Africa” or MENA region. The findings indicate that compliance with the “Basel Capital Requirements” is capable of enhancing or improving bank protection against not only risks but it is also capable of enhancing both profitability and efficiency. The impact or effect of the capital requirements on the performance of the bank is known to be more pronounced for the “too-big to fail” banking institutions, banks in nations that are known to have good governance, and the banks that are experiencing crises periods. The results are known to be strong especially when controlling for the period of the “Arab Spring transition”. At last, the performance and alternative risk measures, endogeneity checks, estimation methods, and principal analysis of components are known to confirm the findings. </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JEL Classifications are G21, G28, G32, and P5.</w:t>
      </w:r>
    </w:p>
    <w:p>
      <w:pPr>
        <w:spacing w:before="0" w:after="0" w:line="480"/>
        <w:ind w:right="0" w:left="0" w:firstLine="72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The Keywords</w:t>
      </w:r>
    </w:p>
    <w:p>
      <w:pPr>
        <w:spacing w:before="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Arab spring, too-big to fail, Basel capital, profitability, efficiency, risk. </w:t>
      </w:r>
    </w:p>
    <w:p>
      <w:pPr>
        <w:spacing w:before="0" w:after="200" w:line="360"/>
        <w:ind w:right="0" w:left="0" w:firstLine="0"/>
        <w:jc w:val="both"/>
        <w:rPr>
          <w:rFonts w:ascii="Calibri" w:hAnsi="Calibri" w:cs="Calibri" w:eastAsia="Calibri"/>
          <w:color w:val="auto"/>
          <w:spacing w:val="0"/>
          <w:position w:val="0"/>
          <w:sz w:val="28"/>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