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EAE1EF" w14:textId="77777777" w:rsidR="00441057" w:rsidRDefault="00441057" w:rsidP="00441057">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ABSTRACT</w:t>
      </w:r>
    </w:p>
    <w:p w14:paraId="35EA402D" w14:textId="77777777" w:rsidR="00441057" w:rsidRDefault="00441057" w:rsidP="00441057">
      <w:pPr>
        <w:spacing w:after="0" w:line="360" w:lineRule="auto"/>
        <w:jc w:val="both"/>
        <w:rPr>
          <w:rFonts w:ascii="Times New Roman" w:hAnsi="Times New Roman" w:cs="Times New Roman"/>
          <w:sz w:val="24"/>
          <w:szCs w:val="24"/>
        </w:rPr>
      </w:pPr>
      <w:r w:rsidRPr="00C80C7D">
        <w:rPr>
          <w:rFonts w:ascii="Times New Roman" w:hAnsi="Times New Roman" w:cs="Times New Roman"/>
          <w:i/>
          <w:sz w:val="24"/>
          <w:szCs w:val="24"/>
        </w:rPr>
        <w:t xml:space="preserve">The major merits of herbal medicine seem to be their perceived efficacy, low incidence of serious adverse effects and low cost. </w:t>
      </w:r>
      <w:r w:rsidRPr="00C80C7D">
        <w:rPr>
          <w:rFonts w:asciiTheme="majorBidi" w:hAnsiTheme="majorBidi" w:cstheme="majorBidi"/>
          <w:i/>
          <w:sz w:val="24"/>
          <w:szCs w:val="24"/>
        </w:rPr>
        <w:t xml:space="preserve">Luffa (Luffa </w:t>
      </w:r>
      <w:proofErr w:type="spellStart"/>
      <w:r w:rsidRPr="00C80C7D">
        <w:rPr>
          <w:rFonts w:asciiTheme="majorBidi" w:hAnsiTheme="majorBidi" w:cstheme="majorBidi"/>
          <w:i/>
          <w:sz w:val="24"/>
          <w:szCs w:val="24"/>
        </w:rPr>
        <w:t>cylindrica</w:t>
      </w:r>
      <w:proofErr w:type="spellEnd"/>
      <w:r w:rsidRPr="00C80C7D">
        <w:rPr>
          <w:rFonts w:asciiTheme="majorBidi" w:hAnsiTheme="majorBidi" w:cstheme="majorBidi"/>
          <w:i/>
          <w:sz w:val="24"/>
          <w:szCs w:val="24"/>
        </w:rPr>
        <w:t xml:space="preserve"> (L.) commonly called sponge gourd, loofa, vegetable sponge, bath sponge or dish cloth gourd, is a member of </w:t>
      </w:r>
      <w:proofErr w:type="spellStart"/>
      <w:r w:rsidRPr="00C80C7D">
        <w:rPr>
          <w:rFonts w:asciiTheme="majorBidi" w:hAnsiTheme="majorBidi" w:cstheme="majorBidi"/>
          <w:i/>
          <w:sz w:val="24"/>
          <w:szCs w:val="24"/>
        </w:rPr>
        <w:t>cucurbitaceouse</w:t>
      </w:r>
      <w:proofErr w:type="spellEnd"/>
      <w:r w:rsidRPr="00C80C7D">
        <w:rPr>
          <w:rFonts w:asciiTheme="majorBidi" w:hAnsiTheme="majorBidi" w:cstheme="majorBidi"/>
          <w:i/>
          <w:sz w:val="24"/>
          <w:szCs w:val="24"/>
        </w:rPr>
        <w:t xml:space="preserve"> family. The plant has been reported to be effective in the treatment of fever, enteritis, as well as in the treatment of asthma, sinusitis fever and diabetes. The results of the phyto</w:t>
      </w:r>
      <w:r>
        <w:rPr>
          <w:rFonts w:asciiTheme="majorBidi" w:hAnsiTheme="majorBidi" w:cstheme="majorBidi"/>
          <w:i/>
          <w:sz w:val="24"/>
          <w:szCs w:val="24"/>
        </w:rPr>
        <w:t>-</w:t>
      </w:r>
      <w:r w:rsidRPr="00C80C7D">
        <w:rPr>
          <w:rFonts w:asciiTheme="majorBidi" w:hAnsiTheme="majorBidi" w:cstheme="majorBidi"/>
          <w:i/>
          <w:sz w:val="24"/>
          <w:szCs w:val="24"/>
        </w:rPr>
        <w:t xml:space="preserve">evaluation of its methanol extract revealed the presences of some bioactive secondary metabolites such as steroids, alkaloids, flavonoids, tannins and saponins. The </w:t>
      </w:r>
      <w:r>
        <w:rPr>
          <w:rFonts w:asciiTheme="majorBidi" w:hAnsiTheme="majorBidi" w:cstheme="majorBidi"/>
          <w:i/>
          <w:sz w:val="24"/>
          <w:szCs w:val="24"/>
        </w:rPr>
        <w:t xml:space="preserve">result of the </w:t>
      </w:r>
      <w:r w:rsidRPr="00C80C7D">
        <w:rPr>
          <w:rFonts w:asciiTheme="majorBidi" w:hAnsiTheme="majorBidi" w:cstheme="majorBidi"/>
          <w:i/>
          <w:sz w:val="24"/>
          <w:szCs w:val="24"/>
        </w:rPr>
        <w:t xml:space="preserve">pharmacological evaluation against </w:t>
      </w:r>
      <w:r w:rsidRPr="00C80C7D">
        <w:rPr>
          <w:rFonts w:ascii="Times New Roman" w:hAnsi="Times New Roman" w:cs="Times New Roman"/>
          <w:i/>
          <w:sz w:val="24"/>
          <w:szCs w:val="24"/>
        </w:rPr>
        <w:t>oral hypoglycemic and anti-hyperglycemic activity also revealed that the leaf extract is effective at the doses of 400 and 600 mg/kg body weight</w:t>
      </w:r>
      <w:r>
        <w:rPr>
          <w:rFonts w:ascii="Times New Roman" w:hAnsi="Times New Roman" w:cs="Times New Roman"/>
          <w:i/>
          <w:sz w:val="24"/>
          <w:szCs w:val="24"/>
        </w:rPr>
        <w:t>, thus acted</w:t>
      </w:r>
      <w:r w:rsidRPr="00C80C7D">
        <w:rPr>
          <w:rFonts w:ascii="Times New Roman" w:hAnsi="Times New Roman" w:cs="Times New Roman"/>
          <w:i/>
          <w:sz w:val="24"/>
          <w:szCs w:val="24"/>
        </w:rPr>
        <w:t xml:space="preserve"> dose dependently</w:t>
      </w:r>
      <w:r>
        <w:rPr>
          <w:rFonts w:ascii="Times New Roman" w:hAnsi="Times New Roman" w:cs="Times New Roman"/>
          <w:i/>
          <w:sz w:val="24"/>
          <w:szCs w:val="24"/>
        </w:rPr>
        <w:t>,</w:t>
      </w:r>
      <w:r w:rsidRPr="00C80C7D">
        <w:rPr>
          <w:rFonts w:ascii="Times New Roman" w:hAnsi="Times New Roman" w:cs="Times New Roman"/>
          <w:i/>
          <w:sz w:val="24"/>
          <w:szCs w:val="24"/>
        </w:rPr>
        <w:t xml:space="preserve"> demonstrat</w:t>
      </w:r>
      <w:r>
        <w:rPr>
          <w:rFonts w:ascii="Times New Roman" w:hAnsi="Times New Roman" w:cs="Times New Roman"/>
          <w:i/>
          <w:sz w:val="24"/>
          <w:szCs w:val="24"/>
        </w:rPr>
        <w:t>ing</w:t>
      </w:r>
      <w:r w:rsidRPr="00C80C7D">
        <w:rPr>
          <w:rFonts w:ascii="Times New Roman" w:hAnsi="Times New Roman" w:cs="Times New Roman"/>
          <w:i/>
          <w:sz w:val="24"/>
          <w:szCs w:val="24"/>
        </w:rPr>
        <w:t xml:space="preserve"> effective hypoglycemic and anti-hyperglycemic activity in normal-glycemic, glucose overloaded induced diabetic rats; and the improved the altered serum biochemical parameters towards normal</w:t>
      </w:r>
      <w:r>
        <w:rPr>
          <w:rFonts w:ascii="Times New Roman" w:hAnsi="Times New Roman" w:cs="Times New Roman"/>
          <w:sz w:val="24"/>
          <w:szCs w:val="24"/>
        </w:rPr>
        <w:t xml:space="preserve">. </w:t>
      </w:r>
    </w:p>
    <w:p w14:paraId="7FE273C9" w14:textId="77777777" w:rsidR="0026483F" w:rsidRDefault="0026483F">
      <w:bookmarkStart w:id="0" w:name="_GoBack"/>
      <w:bookmarkEnd w:id="0"/>
    </w:p>
    <w:sectPr w:rsidR="002648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057"/>
    <w:rsid w:val="0026483F"/>
    <w:rsid w:val="00441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32CCD"/>
  <w15:chartTrackingRefBased/>
  <w15:docId w15:val="{582F65C9-2F90-41D4-B1E1-71F86DCD4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105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907</Characters>
  <Application>Microsoft Office Word</Application>
  <DocSecurity>0</DocSecurity>
  <Lines>7</Lines>
  <Paragraphs>2</Paragraphs>
  <ScaleCrop>false</ScaleCrop>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BABA SHEHU KOLO</dc:creator>
  <cp:keywords/>
  <dc:description/>
  <cp:lastModifiedBy>BABA SHEHU KOLO</cp:lastModifiedBy>
  <cp:revision>1</cp:revision>
  <dcterms:created xsi:type="dcterms:W3CDTF">2019-02-28T15:10:00Z</dcterms:created>
  <dcterms:modified xsi:type="dcterms:W3CDTF">2019-02-28T15:10:00Z</dcterms:modified>
</cp:coreProperties>
</file>