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E39" w:rsidRDefault="00392E39">
      <w:pPr>
        <w:rPr>
          <w:rFonts w:ascii="Verdana" w:hAnsi="Verdana"/>
          <w:color w:val="000000"/>
          <w:sz w:val="18"/>
          <w:szCs w:val="18"/>
          <w:shd w:val="clear" w:color="auto" w:fill="FFFFFF"/>
        </w:rPr>
      </w:pPr>
      <w:proofErr w:type="spellStart"/>
      <w:r>
        <w:rPr>
          <w:rFonts w:ascii="Verdana" w:hAnsi="Verdana"/>
          <w:color w:val="000000"/>
          <w:sz w:val="18"/>
          <w:szCs w:val="18"/>
          <w:shd w:val="clear" w:color="auto" w:fill="FFFFFF"/>
        </w:rPr>
        <w:t>Overexpression</w:t>
      </w:r>
      <w:proofErr w:type="spellEnd"/>
      <w:r>
        <w:rPr>
          <w:rFonts w:ascii="Verdana" w:hAnsi="Verdana"/>
          <w:color w:val="000000"/>
          <w:sz w:val="18"/>
          <w:szCs w:val="18"/>
          <w:shd w:val="clear" w:color="auto" w:fill="FFFFFF"/>
        </w:rPr>
        <w:t xml:space="preserve"> of plant immune regulatory gene NPR1 in </w:t>
      </w:r>
      <w:proofErr w:type="spellStart"/>
      <w:r>
        <w:rPr>
          <w:rFonts w:ascii="Verdana" w:hAnsi="Verdana"/>
          <w:color w:val="000000"/>
          <w:sz w:val="18"/>
          <w:szCs w:val="18"/>
          <w:shd w:val="clear" w:color="auto" w:fill="FFFFFF"/>
        </w:rPr>
        <w:t>Brassica</w:t>
      </w:r>
      <w:proofErr w:type="spellEnd"/>
      <w:r>
        <w:rPr>
          <w:rFonts w:ascii="Verdana" w:hAnsi="Verdana"/>
          <w:color w:val="000000"/>
          <w:sz w:val="18"/>
          <w:szCs w:val="18"/>
          <w:shd w:val="clear" w:color="auto" w:fill="FFFFFF"/>
        </w:rPr>
        <w:t xml:space="preserve"> </w:t>
      </w:r>
      <w:proofErr w:type="spellStart"/>
      <w:r>
        <w:rPr>
          <w:rFonts w:ascii="Verdana" w:hAnsi="Verdana"/>
          <w:color w:val="000000"/>
          <w:sz w:val="18"/>
          <w:szCs w:val="18"/>
          <w:shd w:val="clear" w:color="auto" w:fill="FFFFFF"/>
        </w:rPr>
        <w:t>juncea</w:t>
      </w:r>
      <w:proofErr w:type="spellEnd"/>
      <w:r>
        <w:rPr>
          <w:rFonts w:ascii="Verdana" w:hAnsi="Verdana"/>
          <w:color w:val="000000"/>
          <w:sz w:val="18"/>
          <w:szCs w:val="18"/>
          <w:shd w:val="clear" w:color="auto" w:fill="FFFFFF"/>
        </w:rPr>
        <w:t xml:space="preserve"> leads partial resistance to </w:t>
      </w:r>
      <w:proofErr w:type="spellStart"/>
      <w:r>
        <w:rPr>
          <w:rFonts w:ascii="Verdana" w:hAnsi="Verdana"/>
          <w:color w:val="000000"/>
          <w:sz w:val="18"/>
          <w:szCs w:val="18"/>
          <w:shd w:val="clear" w:color="auto" w:fill="FFFFFF"/>
        </w:rPr>
        <w:t>necrotrophic</w:t>
      </w:r>
      <w:proofErr w:type="spellEnd"/>
      <w:r>
        <w:rPr>
          <w:rFonts w:ascii="Verdana" w:hAnsi="Verdana"/>
          <w:color w:val="000000"/>
          <w:sz w:val="18"/>
          <w:szCs w:val="18"/>
          <w:shd w:val="clear" w:color="auto" w:fill="FFFFFF"/>
        </w:rPr>
        <w:t xml:space="preserve"> and </w:t>
      </w:r>
      <w:proofErr w:type="spellStart"/>
      <w:r>
        <w:rPr>
          <w:rFonts w:ascii="Verdana" w:hAnsi="Verdana"/>
          <w:color w:val="000000"/>
          <w:sz w:val="18"/>
          <w:szCs w:val="18"/>
          <w:shd w:val="clear" w:color="auto" w:fill="FFFFFF"/>
        </w:rPr>
        <w:t>biotrophic</w:t>
      </w:r>
      <w:proofErr w:type="spellEnd"/>
      <w:r>
        <w:rPr>
          <w:rFonts w:ascii="Verdana" w:hAnsi="Verdana"/>
          <w:color w:val="000000"/>
          <w:sz w:val="18"/>
          <w:szCs w:val="18"/>
          <w:shd w:val="clear" w:color="auto" w:fill="FFFFFF"/>
        </w:rPr>
        <w:t xml:space="preserve"> fungal pathogens</w:t>
      </w:r>
    </w:p>
    <w:p w:rsidR="00392E39" w:rsidRDefault="00392E39">
      <w:pPr>
        <w:rPr>
          <w:rFonts w:ascii="Verdana" w:hAnsi="Verdana"/>
          <w:color w:val="000000"/>
          <w:sz w:val="18"/>
          <w:szCs w:val="18"/>
          <w:shd w:val="clear" w:color="auto" w:fill="FFFFFF"/>
        </w:rPr>
      </w:pPr>
    </w:p>
    <w:p w:rsidR="00000000" w:rsidRDefault="00392E39">
      <w:pPr>
        <w:rPr>
          <w:rFonts w:ascii="Verdana" w:hAnsi="Verdana"/>
          <w:color w:val="000000"/>
          <w:sz w:val="18"/>
          <w:szCs w:val="18"/>
          <w:shd w:val="clear" w:color="auto" w:fill="FFFFFF"/>
        </w:rPr>
      </w:pPr>
      <w:r>
        <w:rPr>
          <w:rFonts w:ascii="Verdana" w:hAnsi="Verdana"/>
          <w:color w:val="000000"/>
          <w:sz w:val="18"/>
          <w:szCs w:val="18"/>
          <w:shd w:val="clear" w:color="auto" w:fill="FFFFFF"/>
        </w:rPr>
        <w:t>NPR1 (non-</w:t>
      </w:r>
      <w:proofErr w:type="spellStart"/>
      <w:r>
        <w:rPr>
          <w:rFonts w:ascii="Verdana" w:hAnsi="Verdana"/>
          <w:color w:val="000000"/>
          <w:sz w:val="18"/>
          <w:szCs w:val="18"/>
          <w:shd w:val="clear" w:color="auto" w:fill="FFFFFF"/>
        </w:rPr>
        <w:t>expressor</w:t>
      </w:r>
      <w:proofErr w:type="spellEnd"/>
      <w:r>
        <w:rPr>
          <w:rFonts w:ascii="Verdana" w:hAnsi="Verdana"/>
          <w:color w:val="000000"/>
          <w:sz w:val="18"/>
          <w:szCs w:val="18"/>
          <w:shd w:val="clear" w:color="auto" w:fill="FFFFFF"/>
        </w:rPr>
        <w:t xml:space="preserve"> of pathogen related genes 1) is a </w:t>
      </w:r>
      <w:proofErr w:type="spellStart"/>
      <w:r>
        <w:rPr>
          <w:rFonts w:ascii="Verdana" w:hAnsi="Verdana"/>
          <w:color w:val="000000"/>
          <w:sz w:val="18"/>
          <w:szCs w:val="18"/>
          <w:shd w:val="clear" w:color="auto" w:fill="FFFFFF"/>
        </w:rPr>
        <w:t>bonafide</w:t>
      </w:r>
      <w:proofErr w:type="spellEnd"/>
      <w:r>
        <w:rPr>
          <w:rFonts w:ascii="Verdana" w:hAnsi="Verdana"/>
          <w:color w:val="000000"/>
          <w:sz w:val="18"/>
          <w:szCs w:val="18"/>
          <w:shd w:val="clear" w:color="auto" w:fill="FFFFFF"/>
        </w:rPr>
        <w:t xml:space="preserve"> receptor for defense hormone salicylic acid (SA) which modulates multiple immune responses in plants especially activation of induced and systemic acquired resistance (SAR). Here, we report the isolation and characterization of new NPR1 homolog (BjNPR1) from B. </w:t>
      </w:r>
      <w:proofErr w:type="spellStart"/>
      <w:r>
        <w:rPr>
          <w:rFonts w:ascii="Verdana" w:hAnsi="Verdana"/>
          <w:color w:val="000000"/>
          <w:sz w:val="18"/>
          <w:szCs w:val="18"/>
          <w:shd w:val="clear" w:color="auto" w:fill="FFFFFF"/>
        </w:rPr>
        <w:t>juncea</w:t>
      </w:r>
      <w:proofErr w:type="spellEnd"/>
      <w:r>
        <w:rPr>
          <w:rFonts w:ascii="Verdana" w:hAnsi="Verdana"/>
          <w:color w:val="000000"/>
          <w:sz w:val="18"/>
          <w:szCs w:val="18"/>
          <w:shd w:val="clear" w:color="auto" w:fill="FFFFFF"/>
        </w:rPr>
        <w:t xml:space="preserve">. </w:t>
      </w:r>
      <w:proofErr w:type="spellStart"/>
      <w:r>
        <w:rPr>
          <w:rFonts w:ascii="Verdana" w:hAnsi="Verdana"/>
          <w:color w:val="000000"/>
          <w:sz w:val="18"/>
          <w:szCs w:val="18"/>
          <w:shd w:val="clear" w:color="auto" w:fill="FFFFFF"/>
        </w:rPr>
        <w:t>Phylogenetic</w:t>
      </w:r>
      <w:proofErr w:type="spellEnd"/>
      <w:r>
        <w:rPr>
          <w:rFonts w:ascii="Verdana" w:hAnsi="Verdana"/>
          <w:color w:val="000000"/>
          <w:sz w:val="18"/>
          <w:szCs w:val="18"/>
          <w:shd w:val="clear" w:color="auto" w:fill="FFFFFF"/>
        </w:rPr>
        <w:t xml:space="preserve"> analysis of BjNPR1 with its </w:t>
      </w:r>
      <w:proofErr w:type="spellStart"/>
      <w:r>
        <w:rPr>
          <w:rFonts w:ascii="Verdana" w:hAnsi="Verdana"/>
          <w:color w:val="000000"/>
          <w:sz w:val="18"/>
          <w:szCs w:val="18"/>
          <w:shd w:val="clear" w:color="auto" w:fill="FFFFFF"/>
        </w:rPr>
        <w:t>homologs</w:t>
      </w:r>
      <w:proofErr w:type="spellEnd"/>
      <w:r>
        <w:rPr>
          <w:rFonts w:ascii="Verdana" w:hAnsi="Verdana"/>
          <w:color w:val="000000"/>
          <w:sz w:val="18"/>
          <w:szCs w:val="18"/>
          <w:shd w:val="clear" w:color="auto" w:fill="FFFFFF"/>
        </w:rPr>
        <w:t xml:space="preserve"> from </w:t>
      </w:r>
      <w:proofErr w:type="spellStart"/>
      <w:r>
        <w:rPr>
          <w:rFonts w:ascii="Verdana" w:hAnsi="Verdana"/>
          <w:color w:val="000000"/>
          <w:sz w:val="18"/>
          <w:szCs w:val="18"/>
          <w:shd w:val="clear" w:color="auto" w:fill="FFFFFF"/>
        </w:rPr>
        <w:t>Brassica</w:t>
      </w:r>
      <w:proofErr w:type="spellEnd"/>
      <w:r>
        <w:rPr>
          <w:rFonts w:ascii="Verdana" w:hAnsi="Verdana"/>
          <w:color w:val="000000"/>
          <w:sz w:val="18"/>
          <w:szCs w:val="18"/>
          <w:shd w:val="clear" w:color="auto" w:fill="FFFFFF"/>
        </w:rPr>
        <w:t xml:space="preserve"> genus revealed that they are conserved evolutionarily. Expression analysis showed that BjNPR1 was </w:t>
      </w:r>
      <w:proofErr w:type="spellStart"/>
      <w:r>
        <w:rPr>
          <w:rFonts w:ascii="Verdana" w:hAnsi="Verdana"/>
          <w:color w:val="000000"/>
          <w:sz w:val="18"/>
          <w:szCs w:val="18"/>
          <w:shd w:val="clear" w:color="auto" w:fill="FFFFFF"/>
        </w:rPr>
        <w:t>upregulated</w:t>
      </w:r>
      <w:proofErr w:type="spellEnd"/>
      <w:r>
        <w:rPr>
          <w:rFonts w:ascii="Verdana" w:hAnsi="Verdana"/>
          <w:color w:val="000000"/>
          <w:sz w:val="18"/>
          <w:szCs w:val="18"/>
          <w:shd w:val="clear" w:color="auto" w:fill="FFFFFF"/>
        </w:rPr>
        <w:t xml:space="preserve"> after SA treatment and fungal infection but not by </w:t>
      </w:r>
      <w:proofErr w:type="spellStart"/>
      <w:r>
        <w:rPr>
          <w:rFonts w:ascii="Verdana" w:hAnsi="Verdana"/>
          <w:color w:val="000000"/>
          <w:sz w:val="18"/>
          <w:szCs w:val="18"/>
          <w:shd w:val="clear" w:color="auto" w:fill="FFFFFF"/>
        </w:rPr>
        <w:t>jasmonic</w:t>
      </w:r>
      <w:proofErr w:type="spellEnd"/>
      <w:r>
        <w:rPr>
          <w:rFonts w:ascii="Verdana" w:hAnsi="Verdana"/>
          <w:color w:val="000000"/>
          <w:sz w:val="18"/>
          <w:szCs w:val="18"/>
          <w:shd w:val="clear" w:color="auto" w:fill="FFFFFF"/>
        </w:rPr>
        <w:t xml:space="preserve"> acid (JA) and </w:t>
      </w:r>
      <w:proofErr w:type="spellStart"/>
      <w:r>
        <w:rPr>
          <w:rFonts w:ascii="Verdana" w:hAnsi="Verdana"/>
          <w:color w:val="000000"/>
          <w:sz w:val="18"/>
          <w:szCs w:val="18"/>
          <w:shd w:val="clear" w:color="auto" w:fill="FFFFFF"/>
        </w:rPr>
        <w:t>abscisic</w:t>
      </w:r>
      <w:proofErr w:type="spellEnd"/>
      <w:r>
        <w:rPr>
          <w:rFonts w:ascii="Verdana" w:hAnsi="Verdana"/>
          <w:color w:val="000000"/>
          <w:sz w:val="18"/>
          <w:szCs w:val="18"/>
          <w:shd w:val="clear" w:color="auto" w:fill="FFFFFF"/>
        </w:rPr>
        <w:t xml:space="preserve"> acid (ABA). To confirm the defensive role of BjNPR1, we generated B. </w:t>
      </w:r>
      <w:proofErr w:type="spellStart"/>
      <w:r>
        <w:rPr>
          <w:rFonts w:ascii="Verdana" w:hAnsi="Verdana"/>
          <w:color w:val="000000"/>
          <w:sz w:val="18"/>
          <w:szCs w:val="18"/>
          <w:shd w:val="clear" w:color="auto" w:fill="FFFFFF"/>
        </w:rPr>
        <w:t>juncea</w:t>
      </w:r>
      <w:proofErr w:type="spellEnd"/>
      <w:r>
        <w:rPr>
          <w:rFonts w:ascii="Verdana" w:hAnsi="Verdana"/>
          <w:color w:val="000000"/>
          <w:sz w:val="18"/>
          <w:szCs w:val="18"/>
          <w:shd w:val="clear" w:color="auto" w:fill="FFFFFF"/>
        </w:rPr>
        <w:t xml:space="preserve"> transgenic lines </w:t>
      </w:r>
      <w:proofErr w:type="spellStart"/>
      <w:r>
        <w:rPr>
          <w:rFonts w:ascii="Verdana" w:hAnsi="Verdana"/>
          <w:color w:val="000000"/>
          <w:sz w:val="18"/>
          <w:szCs w:val="18"/>
          <w:shd w:val="clear" w:color="auto" w:fill="FFFFFF"/>
        </w:rPr>
        <w:t>overexpressing</w:t>
      </w:r>
      <w:proofErr w:type="spellEnd"/>
      <w:r>
        <w:rPr>
          <w:rFonts w:ascii="Verdana" w:hAnsi="Verdana"/>
          <w:color w:val="000000"/>
          <w:sz w:val="18"/>
          <w:szCs w:val="18"/>
          <w:shd w:val="clear" w:color="auto" w:fill="FFFFFF"/>
        </w:rPr>
        <w:t xml:space="preserve"> BjNPR1 and further confirmed by PCR and southern blotting. BjNPR1 transgenic lines showed no phenotypic abnormalities. Constitutive expression of BjNPR1 activates defense signaling pathways by priming the expression of antifungal PR genes. BjNPR1 transgenic lines also showed delayed symptoms and reduced disease severity than non transgenic plants after infected with </w:t>
      </w:r>
      <w:proofErr w:type="spellStart"/>
      <w:r>
        <w:rPr>
          <w:rFonts w:ascii="Verdana" w:hAnsi="Verdana"/>
          <w:color w:val="000000"/>
          <w:sz w:val="18"/>
          <w:szCs w:val="18"/>
          <w:shd w:val="clear" w:color="auto" w:fill="FFFFFF"/>
        </w:rPr>
        <w:t>Alternaria</w:t>
      </w:r>
      <w:proofErr w:type="spellEnd"/>
      <w:r>
        <w:rPr>
          <w:rFonts w:ascii="Verdana" w:hAnsi="Verdana"/>
          <w:color w:val="000000"/>
          <w:sz w:val="18"/>
          <w:szCs w:val="18"/>
          <w:shd w:val="clear" w:color="auto" w:fill="FFFFFF"/>
        </w:rPr>
        <w:t xml:space="preserve"> </w:t>
      </w:r>
      <w:proofErr w:type="spellStart"/>
      <w:r>
        <w:rPr>
          <w:rFonts w:ascii="Verdana" w:hAnsi="Verdana"/>
          <w:color w:val="000000"/>
          <w:sz w:val="18"/>
          <w:szCs w:val="18"/>
          <w:shd w:val="clear" w:color="auto" w:fill="FFFFFF"/>
        </w:rPr>
        <w:t>brassicae</w:t>
      </w:r>
      <w:proofErr w:type="spellEnd"/>
      <w:r>
        <w:rPr>
          <w:rFonts w:ascii="Verdana" w:hAnsi="Verdana"/>
          <w:color w:val="000000"/>
          <w:sz w:val="18"/>
          <w:szCs w:val="18"/>
          <w:shd w:val="clear" w:color="auto" w:fill="FFFFFF"/>
        </w:rPr>
        <w:t xml:space="preserve"> and </w:t>
      </w:r>
      <w:proofErr w:type="spellStart"/>
      <w:r>
        <w:rPr>
          <w:rFonts w:ascii="Verdana" w:hAnsi="Verdana"/>
          <w:color w:val="000000"/>
          <w:sz w:val="18"/>
          <w:szCs w:val="18"/>
          <w:shd w:val="clear" w:color="auto" w:fill="FFFFFF"/>
        </w:rPr>
        <w:t>Erysiphe</w:t>
      </w:r>
      <w:proofErr w:type="spellEnd"/>
      <w:r>
        <w:rPr>
          <w:rFonts w:ascii="Verdana" w:hAnsi="Verdana"/>
          <w:color w:val="000000"/>
          <w:sz w:val="18"/>
          <w:szCs w:val="18"/>
          <w:shd w:val="clear" w:color="auto" w:fill="FFFFFF"/>
        </w:rPr>
        <w:t xml:space="preserve"> </w:t>
      </w:r>
      <w:proofErr w:type="spellStart"/>
      <w:r>
        <w:rPr>
          <w:rFonts w:ascii="Verdana" w:hAnsi="Verdana"/>
          <w:color w:val="000000"/>
          <w:sz w:val="18"/>
          <w:szCs w:val="18"/>
          <w:shd w:val="clear" w:color="auto" w:fill="FFFFFF"/>
        </w:rPr>
        <w:t>cruciferarum</w:t>
      </w:r>
      <w:proofErr w:type="spellEnd"/>
      <w:r>
        <w:rPr>
          <w:rFonts w:ascii="Verdana" w:hAnsi="Verdana"/>
          <w:color w:val="000000"/>
          <w:sz w:val="18"/>
          <w:szCs w:val="18"/>
          <w:shd w:val="clear" w:color="auto" w:fill="FFFFFF"/>
        </w:rPr>
        <w:t xml:space="preserve"> fungal pathogens. Moreover, the rate of disease spreading to uninfected or distal parts was also delayed in BjNPR1 transgenic plants thus suggesting activation of SAR. Altogether, the present study suggests that the BjNPR1 is involved in broad spectrum of disease resistance against fungal pathogens.</w:t>
      </w:r>
    </w:p>
    <w:p w:rsidR="00392E39" w:rsidRDefault="00392E39">
      <w:pPr>
        <w:rPr>
          <w:rFonts w:ascii="Verdana" w:hAnsi="Verdana"/>
          <w:color w:val="000000"/>
          <w:sz w:val="18"/>
          <w:szCs w:val="18"/>
          <w:shd w:val="clear" w:color="auto" w:fill="FFFFFF"/>
        </w:rPr>
      </w:pPr>
    </w:p>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505"/>
        <w:gridCol w:w="4975"/>
      </w:tblGrid>
      <w:tr w:rsidR="00392E39" w:rsidRPr="00392E39" w:rsidTr="00392E39">
        <w:trPr>
          <w:gridAfter w:val="1"/>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92E39" w:rsidRPr="00392E39" w:rsidRDefault="00392E39" w:rsidP="00392E39">
            <w:pPr>
              <w:spacing w:after="0" w:line="240" w:lineRule="auto"/>
              <w:rPr>
                <w:rFonts w:ascii="Verdana" w:eastAsia="Times New Roman" w:hAnsi="Verdana" w:cs="Times New Roman"/>
                <w:color w:val="000000"/>
                <w:sz w:val="18"/>
                <w:szCs w:val="18"/>
              </w:rPr>
            </w:pPr>
            <w:r w:rsidRPr="00392E39">
              <w:rPr>
                <w:rFonts w:ascii="Verdana" w:eastAsia="Times New Roman" w:hAnsi="Verdana" w:cs="Times New Roman"/>
                <w:color w:val="000000"/>
                <w:sz w:val="18"/>
                <w:szCs w:val="18"/>
              </w:rPr>
              <w:t xml:space="preserve">Dr. ANITA GROVER (anitagrover@hotmail.com) (National </w:t>
            </w:r>
            <w:proofErr w:type="spellStart"/>
            <w:r w:rsidRPr="00392E39">
              <w:rPr>
                <w:rFonts w:ascii="Verdana" w:eastAsia="Times New Roman" w:hAnsi="Verdana" w:cs="Times New Roman"/>
                <w:color w:val="000000"/>
                <w:sz w:val="18"/>
                <w:szCs w:val="18"/>
              </w:rPr>
              <w:t>Reserach</w:t>
            </w:r>
            <w:proofErr w:type="spellEnd"/>
            <w:r w:rsidRPr="00392E39">
              <w:rPr>
                <w:rFonts w:ascii="Verdana" w:eastAsia="Times New Roman" w:hAnsi="Verdana" w:cs="Times New Roman"/>
                <w:color w:val="000000"/>
                <w:sz w:val="18"/>
                <w:szCs w:val="18"/>
              </w:rPr>
              <w:t xml:space="preserve"> Centre on Plant Biotechnology)</w:t>
            </w:r>
          </w:p>
        </w:tc>
      </w:tr>
      <w:tr w:rsidR="00392E39" w:rsidRPr="00392E39" w:rsidTr="00392E39">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392E39" w:rsidRPr="00392E39" w:rsidRDefault="00392E39" w:rsidP="00392E39">
            <w:pPr>
              <w:spacing w:after="0" w:line="240" w:lineRule="auto"/>
              <w:rPr>
                <w:rFonts w:ascii="Verdana" w:eastAsia="Times New Roman" w:hAnsi="Verdana" w:cs="Times New Roman"/>
                <w:b/>
                <w:bCs/>
                <w:color w:val="000000"/>
                <w:sz w:val="18"/>
                <w:szCs w:val="18"/>
              </w:rPr>
            </w:pPr>
            <w:r w:rsidRPr="00392E39">
              <w:rPr>
                <w:rFonts w:ascii="Verdana" w:eastAsia="Times New Roman" w:hAnsi="Verdana" w:cs="Times New Roman"/>
                <w:b/>
                <w:bCs/>
                <w:color w:val="000000"/>
                <w:sz w:val="18"/>
                <w:szCs w:val="18"/>
              </w:rPr>
              <w:t>Contributing Authors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92E39" w:rsidRPr="00392E39" w:rsidRDefault="00392E39" w:rsidP="00392E39">
            <w:pPr>
              <w:spacing w:after="0" w:line="240" w:lineRule="auto"/>
              <w:rPr>
                <w:rFonts w:ascii="Verdana" w:eastAsia="Times New Roman" w:hAnsi="Verdana" w:cs="Times New Roman"/>
                <w:color w:val="000000"/>
                <w:sz w:val="18"/>
                <w:szCs w:val="18"/>
              </w:rPr>
            </w:pPr>
            <w:r w:rsidRPr="00392E39">
              <w:rPr>
                <w:rFonts w:ascii="Verdana" w:eastAsia="Times New Roman" w:hAnsi="Verdana" w:cs="Times New Roman"/>
                <w:color w:val="000000"/>
                <w:sz w:val="18"/>
                <w:szCs w:val="18"/>
              </w:rPr>
              <w:t xml:space="preserve">Dr. SAJAD ALI , Mr. </w:t>
            </w:r>
            <w:proofErr w:type="spellStart"/>
            <w:r w:rsidRPr="00392E39">
              <w:rPr>
                <w:rFonts w:ascii="Verdana" w:eastAsia="Times New Roman" w:hAnsi="Verdana" w:cs="Times New Roman"/>
                <w:color w:val="000000"/>
                <w:sz w:val="18"/>
                <w:szCs w:val="18"/>
              </w:rPr>
              <w:t>Zahoor</w:t>
            </w:r>
            <w:proofErr w:type="spellEnd"/>
            <w:r w:rsidRPr="00392E39">
              <w:rPr>
                <w:rFonts w:ascii="Verdana" w:eastAsia="Times New Roman" w:hAnsi="Verdana" w:cs="Times New Roman"/>
                <w:color w:val="000000"/>
                <w:sz w:val="18"/>
                <w:szCs w:val="18"/>
              </w:rPr>
              <w:t xml:space="preserve"> Ahmad , Dr. </w:t>
            </w:r>
            <w:proofErr w:type="spellStart"/>
            <w:r w:rsidRPr="00392E39">
              <w:rPr>
                <w:rFonts w:ascii="Verdana" w:eastAsia="Times New Roman" w:hAnsi="Verdana" w:cs="Times New Roman"/>
                <w:color w:val="000000"/>
                <w:sz w:val="18"/>
                <w:szCs w:val="18"/>
              </w:rPr>
              <w:t>Anshika</w:t>
            </w:r>
            <w:proofErr w:type="spellEnd"/>
            <w:r w:rsidRPr="00392E39">
              <w:rPr>
                <w:rFonts w:ascii="Verdana" w:eastAsia="Times New Roman" w:hAnsi="Verdana" w:cs="Times New Roman"/>
                <w:color w:val="000000"/>
                <w:sz w:val="18"/>
                <w:szCs w:val="18"/>
              </w:rPr>
              <w:t xml:space="preserve"> </w:t>
            </w:r>
            <w:proofErr w:type="spellStart"/>
            <w:r w:rsidRPr="00392E39">
              <w:rPr>
                <w:rFonts w:ascii="Verdana" w:eastAsia="Times New Roman" w:hAnsi="Verdana" w:cs="Times New Roman"/>
                <w:color w:val="000000"/>
                <w:sz w:val="18"/>
                <w:szCs w:val="18"/>
              </w:rPr>
              <w:t>Tyagi</w:t>
            </w:r>
            <w:proofErr w:type="spellEnd"/>
            <w:r w:rsidRPr="00392E39">
              <w:rPr>
                <w:rFonts w:ascii="Verdana" w:eastAsia="Times New Roman" w:hAnsi="Verdana" w:cs="Times New Roman"/>
                <w:color w:val="000000"/>
                <w:sz w:val="18"/>
                <w:szCs w:val="18"/>
              </w:rPr>
              <w:t xml:space="preserve"> , Dr. </w:t>
            </w:r>
            <w:proofErr w:type="spellStart"/>
            <w:r w:rsidRPr="00392E39">
              <w:rPr>
                <w:rFonts w:ascii="Verdana" w:eastAsia="Times New Roman" w:hAnsi="Verdana" w:cs="Times New Roman"/>
                <w:color w:val="000000"/>
                <w:sz w:val="18"/>
                <w:szCs w:val="18"/>
              </w:rPr>
              <w:t>Hailay</w:t>
            </w:r>
            <w:proofErr w:type="spellEnd"/>
            <w:r w:rsidRPr="00392E39">
              <w:rPr>
                <w:rFonts w:ascii="Verdana" w:eastAsia="Times New Roman" w:hAnsi="Verdana" w:cs="Times New Roman"/>
                <w:color w:val="000000"/>
                <w:sz w:val="18"/>
                <w:szCs w:val="18"/>
              </w:rPr>
              <w:t xml:space="preserve"> </w:t>
            </w:r>
            <w:proofErr w:type="spellStart"/>
            <w:r w:rsidRPr="00392E39">
              <w:rPr>
                <w:rFonts w:ascii="Verdana" w:eastAsia="Times New Roman" w:hAnsi="Verdana" w:cs="Times New Roman"/>
                <w:color w:val="000000"/>
                <w:sz w:val="18"/>
                <w:szCs w:val="18"/>
              </w:rPr>
              <w:t>Mehari</w:t>
            </w:r>
            <w:proofErr w:type="spellEnd"/>
            <w:r w:rsidRPr="00392E39">
              <w:rPr>
                <w:rFonts w:ascii="Verdana" w:eastAsia="Times New Roman" w:hAnsi="Verdana" w:cs="Times New Roman"/>
                <w:color w:val="000000"/>
                <w:sz w:val="18"/>
                <w:szCs w:val="18"/>
              </w:rPr>
              <w:t xml:space="preserve"> , Mr. </w:t>
            </w:r>
            <w:proofErr w:type="spellStart"/>
            <w:r w:rsidRPr="00392E39">
              <w:rPr>
                <w:rFonts w:ascii="Verdana" w:eastAsia="Times New Roman" w:hAnsi="Verdana" w:cs="Times New Roman"/>
                <w:color w:val="000000"/>
                <w:sz w:val="18"/>
                <w:szCs w:val="18"/>
              </w:rPr>
              <w:t>Prashan</w:t>
            </w:r>
            <w:proofErr w:type="spellEnd"/>
            <w:r w:rsidRPr="00392E39">
              <w:rPr>
                <w:rFonts w:ascii="Verdana" w:eastAsia="Times New Roman" w:hAnsi="Verdana" w:cs="Times New Roman"/>
                <w:color w:val="000000"/>
                <w:sz w:val="18"/>
                <w:szCs w:val="18"/>
              </w:rPr>
              <w:t xml:space="preserve"> </w:t>
            </w:r>
            <w:proofErr w:type="spellStart"/>
            <w:r w:rsidRPr="00392E39">
              <w:rPr>
                <w:rFonts w:ascii="Verdana" w:eastAsia="Times New Roman" w:hAnsi="Verdana" w:cs="Times New Roman"/>
                <w:color w:val="000000"/>
                <w:sz w:val="18"/>
                <w:szCs w:val="18"/>
              </w:rPr>
              <w:t>Yadav</w:t>
            </w:r>
            <w:proofErr w:type="spellEnd"/>
            <w:r w:rsidRPr="00392E39">
              <w:rPr>
                <w:rFonts w:ascii="Verdana" w:eastAsia="Times New Roman" w:hAnsi="Verdana" w:cs="Times New Roman"/>
                <w:color w:val="000000"/>
                <w:sz w:val="18"/>
                <w:szCs w:val="18"/>
              </w:rPr>
              <w:t xml:space="preserve"> , Mr. </w:t>
            </w:r>
            <w:proofErr w:type="spellStart"/>
            <w:r w:rsidRPr="00392E39">
              <w:rPr>
                <w:rFonts w:ascii="Verdana" w:eastAsia="Times New Roman" w:hAnsi="Verdana" w:cs="Times New Roman"/>
                <w:color w:val="000000"/>
                <w:sz w:val="18"/>
                <w:szCs w:val="18"/>
              </w:rPr>
              <w:t>Rajendra</w:t>
            </w:r>
            <w:proofErr w:type="spellEnd"/>
            <w:r w:rsidRPr="00392E39">
              <w:rPr>
                <w:rFonts w:ascii="Verdana" w:eastAsia="Times New Roman" w:hAnsi="Verdana" w:cs="Times New Roman"/>
                <w:color w:val="000000"/>
                <w:sz w:val="18"/>
                <w:szCs w:val="18"/>
              </w:rPr>
              <w:t xml:space="preserve"> </w:t>
            </w:r>
            <w:proofErr w:type="spellStart"/>
            <w:r w:rsidRPr="00392E39">
              <w:rPr>
                <w:rFonts w:ascii="Verdana" w:eastAsia="Times New Roman" w:hAnsi="Verdana" w:cs="Times New Roman"/>
                <w:color w:val="000000"/>
                <w:sz w:val="18"/>
                <w:szCs w:val="18"/>
              </w:rPr>
              <w:t>Meena</w:t>
            </w:r>
            <w:proofErr w:type="spellEnd"/>
            <w:r w:rsidRPr="00392E39">
              <w:rPr>
                <w:rFonts w:ascii="Verdana" w:eastAsia="Times New Roman" w:hAnsi="Verdana" w:cs="Times New Roman"/>
                <w:color w:val="000000"/>
                <w:sz w:val="18"/>
                <w:szCs w:val="18"/>
              </w:rPr>
              <w:t xml:space="preserve"> , Mr. </w:t>
            </w:r>
            <w:proofErr w:type="spellStart"/>
            <w:r w:rsidRPr="00392E39">
              <w:rPr>
                <w:rFonts w:ascii="Verdana" w:eastAsia="Times New Roman" w:hAnsi="Verdana" w:cs="Times New Roman"/>
                <w:color w:val="000000"/>
                <w:sz w:val="18"/>
                <w:szCs w:val="18"/>
              </w:rPr>
              <w:t>Pradeep</w:t>
            </w:r>
            <w:proofErr w:type="spellEnd"/>
            <w:r w:rsidRPr="00392E39">
              <w:rPr>
                <w:rFonts w:ascii="Verdana" w:eastAsia="Times New Roman" w:hAnsi="Verdana" w:cs="Times New Roman"/>
                <w:color w:val="000000"/>
                <w:sz w:val="18"/>
                <w:szCs w:val="18"/>
              </w:rPr>
              <w:t xml:space="preserve"> </w:t>
            </w:r>
            <w:proofErr w:type="spellStart"/>
            <w:r w:rsidRPr="00392E39">
              <w:rPr>
                <w:rFonts w:ascii="Verdana" w:eastAsia="Times New Roman" w:hAnsi="Verdana" w:cs="Times New Roman"/>
                <w:color w:val="000000"/>
                <w:sz w:val="18"/>
                <w:szCs w:val="18"/>
              </w:rPr>
              <w:t>Papalou</w:t>
            </w:r>
            <w:proofErr w:type="spellEnd"/>
            <w:r w:rsidRPr="00392E39">
              <w:rPr>
                <w:rFonts w:ascii="Verdana" w:eastAsia="Times New Roman" w:hAnsi="Verdana" w:cs="Times New Roman"/>
                <w:color w:val="000000"/>
                <w:sz w:val="18"/>
                <w:szCs w:val="18"/>
              </w:rPr>
              <w:t xml:space="preserve"> , Dr. </w:t>
            </w:r>
            <w:proofErr w:type="spellStart"/>
            <w:r w:rsidRPr="00392E39">
              <w:rPr>
                <w:rFonts w:ascii="Verdana" w:eastAsia="Times New Roman" w:hAnsi="Verdana" w:cs="Times New Roman"/>
                <w:color w:val="000000"/>
                <w:sz w:val="18"/>
                <w:szCs w:val="18"/>
              </w:rPr>
              <w:t>Sandhya</w:t>
            </w:r>
            <w:proofErr w:type="spellEnd"/>
            <w:r w:rsidRPr="00392E39">
              <w:rPr>
                <w:rFonts w:ascii="Verdana" w:eastAsia="Times New Roman" w:hAnsi="Verdana" w:cs="Times New Roman"/>
                <w:color w:val="000000"/>
                <w:sz w:val="18"/>
                <w:szCs w:val="18"/>
              </w:rPr>
              <w:t xml:space="preserve"> </w:t>
            </w:r>
            <w:proofErr w:type="spellStart"/>
            <w:r w:rsidRPr="00392E39">
              <w:rPr>
                <w:rFonts w:ascii="Verdana" w:eastAsia="Times New Roman" w:hAnsi="Verdana" w:cs="Times New Roman"/>
                <w:color w:val="000000"/>
                <w:sz w:val="18"/>
                <w:szCs w:val="18"/>
              </w:rPr>
              <w:t>Rawat</w:t>
            </w:r>
            <w:proofErr w:type="spellEnd"/>
          </w:p>
        </w:tc>
      </w:tr>
    </w:tbl>
    <w:p w:rsidR="00392E39" w:rsidRDefault="00392E39"/>
    <w:sectPr w:rsidR="00392E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92E39"/>
    <w:rsid w:val="00392E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3828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GROVER</dc:creator>
  <cp:keywords/>
  <dc:description/>
  <cp:lastModifiedBy>ANITA GROVER</cp:lastModifiedBy>
  <cp:revision>2</cp:revision>
  <dcterms:created xsi:type="dcterms:W3CDTF">2017-06-12T10:20:00Z</dcterms:created>
  <dcterms:modified xsi:type="dcterms:W3CDTF">2017-06-12T10:22:00Z</dcterms:modified>
</cp:coreProperties>
</file>