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823" w:rsidRPr="00CA1CCC" w:rsidRDefault="009A652C" w:rsidP="009A652C">
      <w:pPr>
        <w:jc w:val="center"/>
        <w:rPr>
          <w:b/>
          <w:sz w:val="36"/>
          <w:szCs w:val="36"/>
          <w:u w:val="single"/>
        </w:rPr>
      </w:pPr>
      <w:r w:rsidRPr="00CA1CCC">
        <w:rPr>
          <w:b/>
          <w:sz w:val="36"/>
          <w:szCs w:val="36"/>
          <w:u w:val="single"/>
        </w:rPr>
        <w:t>ABSTRACT</w:t>
      </w:r>
    </w:p>
    <w:p w:rsidR="009A652C" w:rsidRPr="00BF5412" w:rsidRDefault="009A652C" w:rsidP="00BF5412">
      <w:pPr>
        <w:spacing w:line="360" w:lineRule="auto"/>
        <w:jc w:val="both"/>
        <w:rPr>
          <w:rFonts w:asciiTheme="majorHAnsi" w:hAnsiTheme="majorHAnsi"/>
          <w:sz w:val="24"/>
          <w:szCs w:val="24"/>
        </w:rPr>
      </w:pPr>
      <w:r w:rsidRPr="00BF5412">
        <w:rPr>
          <w:rFonts w:asciiTheme="majorHAnsi" w:hAnsiTheme="majorHAnsi"/>
          <w:sz w:val="24"/>
          <w:szCs w:val="24"/>
        </w:rPr>
        <w:t>A total of 200 apparently healthy male and</w:t>
      </w:r>
      <w:r w:rsidR="00BF5412">
        <w:rPr>
          <w:rFonts w:asciiTheme="majorHAnsi" w:hAnsiTheme="majorHAnsi"/>
          <w:sz w:val="24"/>
          <w:szCs w:val="24"/>
        </w:rPr>
        <w:t xml:space="preserve"> female students of Tai Solarin</w:t>
      </w:r>
      <w:r w:rsidRPr="00BF5412">
        <w:rPr>
          <w:rFonts w:asciiTheme="majorHAnsi" w:hAnsiTheme="majorHAnsi"/>
          <w:sz w:val="24"/>
          <w:szCs w:val="24"/>
        </w:rPr>
        <w:t xml:space="preserve"> University of Education, were tested for pathogenic bacteria in their urinary tract.</w:t>
      </w:r>
    </w:p>
    <w:p w:rsidR="009A652C" w:rsidRPr="00BF5412" w:rsidRDefault="009A652C" w:rsidP="00BF5412">
      <w:pPr>
        <w:spacing w:line="360" w:lineRule="auto"/>
        <w:jc w:val="both"/>
        <w:rPr>
          <w:rFonts w:asciiTheme="majorHAnsi" w:hAnsiTheme="majorHAnsi"/>
          <w:sz w:val="24"/>
          <w:szCs w:val="24"/>
        </w:rPr>
      </w:pPr>
      <w:r w:rsidRPr="00BF5412">
        <w:rPr>
          <w:rFonts w:asciiTheme="majorHAnsi" w:hAnsiTheme="majorHAnsi"/>
          <w:sz w:val="24"/>
          <w:szCs w:val="24"/>
        </w:rPr>
        <w:t xml:space="preserve">The carriage rate of the isolated bacteria among the students was found to be </w:t>
      </w:r>
      <w:r w:rsidR="00CA1CCC" w:rsidRPr="00BF5412">
        <w:rPr>
          <w:rFonts w:asciiTheme="majorHAnsi" w:hAnsiTheme="majorHAnsi"/>
          <w:sz w:val="24"/>
          <w:szCs w:val="24"/>
        </w:rPr>
        <w:t>63 %( 126</w:t>
      </w:r>
      <w:r w:rsidRPr="00BF5412">
        <w:rPr>
          <w:rFonts w:asciiTheme="majorHAnsi" w:hAnsiTheme="majorHAnsi"/>
          <w:sz w:val="24"/>
          <w:szCs w:val="24"/>
        </w:rPr>
        <w:t xml:space="preserve"> students). The female students had the highest carriage rate of </w:t>
      </w:r>
      <w:r w:rsidR="00BF5412" w:rsidRPr="00BF5412">
        <w:rPr>
          <w:rFonts w:asciiTheme="majorHAnsi" w:hAnsiTheme="majorHAnsi"/>
          <w:sz w:val="24"/>
          <w:szCs w:val="24"/>
        </w:rPr>
        <w:t>58.7 %( 74</w:t>
      </w:r>
      <w:r w:rsidRPr="00BF5412">
        <w:rPr>
          <w:rFonts w:asciiTheme="majorHAnsi" w:hAnsiTheme="majorHAnsi"/>
          <w:sz w:val="24"/>
          <w:szCs w:val="24"/>
        </w:rPr>
        <w:t xml:space="preserve"> students) while the male students had a carriage rate of </w:t>
      </w:r>
      <w:r w:rsidR="00BF5412" w:rsidRPr="00BF5412">
        <w:rPr>
          <w:rFonts w:asciiTheme="majorHAnsi" w:hAnsiTheme="majorHAnsi"/>
          <w:sz w:val="24"/>
          <w:szCs w:val="24"/>
        </w:rPr>
        <w:t>41.3 %( 52</w:t>
      </w:r>
      <w:r w:rsidRPr="00BF5412">
        <w:rPr>
          <w:rFonts w:asciiTheme="majorHAnsi" w:hAnsiTheme="majorHAnsi"/>
          <w:sz w:val="24"/>
          <w:szCs w:val="24"/>
        </w:rPr>
        <w:t xml:space="preserve"> students).</w:t>
      </w:r>
    </w:p>
    <w:p w:rsidR="009A652C" w:rsidRPr="00BF5412" w:rsidRDefault="009A652C" w:rsidP="00BF5412">
      <w:pPr>
        <w:spacing w:line="360" w:lineRule="auto"/>
        <w:jc w:val="both"/>
        <w:rPr>
          <w:rFonts w:asciiTheme="majorHAnsi" w:hAnsiTheme="majorHAnsi"/>
          <w:sz w:val="24"/>
          <w:szCs w:val="24"/>
        </w:rPr>
      </w:pPr>
      <w:r w:rsidRPr="00BF5412">
        <w:rPr>
          <w:rFonts w:asciiTheme="majorHAnsi" w:hAnsiTheme="majorHAnsi"/>
          <w:sz w:val="24"/>
          <w:szCs w:val="24"/>
        </w:rPr>
        <w:t xml:space="preserve">The pathogenic Bacteria isolated </w:t>
      </w:r>
      <w:r w:rsidR="00FA5E74" w:rsidRPr="00BF5412">
        <w:rPr>
          <w:rFonts w:asciiTheme="majorHAnsi" w:hAnsiTheme="majorHAnsi"/>
          <w:sz w:val="24"/>
          <w:szCs w:val="24"/>
        </w:rPr>
        <w:t>include</w:t>
      </w:r>
      <w:r w:rsidRPr="00BF5412">
        <w:rPr>
          <w:rFonts w:asciiTheme="majorHAnsi" w:hAnsiTheme="majorHAnsi"/>
          <w:sz w:val="24"/>
          <w:szCs w:val="24"/>
        </w:rPr>
        <w:t xml:space="preserve">; </w:t>
      </w:r>
      <w:r w:rsidRPr="00BF5412">
        <w:rPr>
          <w:rFonts w:asciiTheme="majorHAnsi" w:hAnsiTheme="majorHAnsi"/>
          <w:i/>
          <w:sz w:val="24"/>
          <w:szCs w:val="24"/>
          <w:u w:val="single"/>
        </w:rPr>
        <w:t>Pseudomonas aeruginosa</w:t>
      </w:r>
      <w:r w:rsidRPr="00BF5412">
        <w:rPr>
          <w:rFonts w:asciiTheme="majorHAnsi" w:hAnsiTheme="majorHAnsi"/>
          <w:sz w:val="24"/>
          <w:szCs w:val="24"/>
        </w:rPr>
        <w:t xml:space="preserve"> (33.3), </w:t>
      </w:r>
      <w:r w:rsidRPr="00BF5412">
        <w:rPr>
          <w:rFonts w:asciiTheme="majorHAnsi" w:hAnsiTheme="majorHAnsi"/>
          <w:i/>
          <w:sz w:val="24"/>
          <w:szCs w:val="24"/>
          <w:u w:val="single"/>
        </w:rPr>
        <w:t>Esherichia coli</w:t>
      </w:r>
      <w:r w:rsidRPr="00BF5412">
        <w:rPr>
          <w:rFonts w:asciiTheme="majorHAnsi" w:hAnsiTheme="majorHAnsi"/>
          <w:sz w:val="24"/>
          <w:szCs w:val="24"/>
        </w:rPr>
        <w:t xml:space="preserve"> (17.5%), </w:t>
      </w:r>
      <w:r w:rsidRPr="00BF5412">
        <w:rPr>
          <w:rFonts w:asciiTheme="majorHAnsi" w:hAnsiTheme="majorHAnsi"/>
          <w:i/>
          <w:sz w:val="24"/>
          <w:szCs w:val="24"/>
          <w:u w:val="single"/>
        </w:rPr>
        <w:t>Proteus mirabilis</w:t>
      </w:r>
      <w:r w:rsidRPr="00BF5412">
        <w:rPr>
          <w:rFonts w:asciiTheme="majorHAnsi" w:hAnsiTheme="majorHAnsi"/>
          <w:sz w:val="24"/>
          <w:szCs w:val="24"/>
        </w:rPr>
        <w:t xml:space="preserve"> (3.2%), </w:t>
      </w:r>
      <w:r w:rsidRPr="00BF5412">
        <w:rPr>
          <w:rFonts w:asciiTheme="majorHAnsi" w:hAnsiTheme="majorHAnsi"/>
          <w:i/>
          <w:sz w:val="24"/>
          <w:szCs w:val="24"/>
          <w:u w:val="single"/>
        </w:rPr>
        <w:t>Staphylococcus saprophyticus</w:t>
      </w:r>
      <w:r w:rsidRPr="00BF5412">
        <w:rPr>
          <w:rFonts w:asciiTheme="majorHAnsi" w:hAnsiTheme="majorHAnsi"/>
          <w:sz w:val="24"/>
          <w:szCs w:val="24"/>
        </w:rPr>
        <w:t xml:space="preserve"> (15.9%), </w:t>
      </w:r>
      <w:r w:rsidRPr="00BF5412">
        <w:rPr>
          <w:rFonts w:asciiTheme="majorHAnsi" w:hAnsiTheme="majorHAnsi"/>
          <w:i/>
          <w:sz w:val="24"/>
          <w:szCs w:val="24"/>
          <w:u w:val="single"/>
        </w:rPr>
        <w:t xml:space="preserve">Salmonella </w:t>
      </w:r>
      <w:proofErr w:type="spellStart"/>
      <w:r w:rsidRPr="00BF5412">
        <w:rPr>
          <w:rFonts w:asciiTheme="majorHAnsi" w:hAnsiTheme="majorHAnsi"/>
          <w:i/>
          <w:sz w:val="24"/>
          <w:szCs w:val="24"/>
          <w:u w:val="single"/>
        </w:rPr>
        <w:t>spp</w:t>
      </w:r>
      <w:proofErr w:type="spellEnd"/>
      <w:r w:rsidRPr="00BF5412">
        <w:rPr>
          <w:rFonts w:asciiTheme="majorHAnsi" w:hAnsiTheme="majorHAnsi"/>
          <w:sz w:val="24"/>
          <w:szCs w:val="24"/>
        </w:rPr>
        <w:t xml:space="preserve"> (2.3%), </w:t>
      </w:r>
      <w:r w:rsidRPr="00BF5412">
        <w:rPr>
          <w:rFonts w:asciiTheme="majorHAnsi" w:hAnsiTheme="majorHAnsi"/>
          <w:i/>
          <w:sz w:val="24"/>
          <w:szCs w:val="24"/>
          <w:u w:val="single"/>
        </w:rPr>
        <w:t>Streptococcus enterococci</w:t>
      </w:r>
      <w:r w:rsidRPr="00BF5412">
        <w:rPr>
          <w:rFonts w:asciiTheme="majorHAnsi" w:hAnsiTheme="majorHAnsi"/>
          <w:sz w:val="24"/>
          <w:szCs w:val="24"/>
        </w:rPr>
        <w:t xml:space="preserve">(3.2%), </w:t>
      </w:r>
      <w:r w:rsidRPr="00BF5412">
        <w:rPr>
          <w:rFonts w:asciiTheme="majorHAnsi" w:hAnsiTheme="majorHAnsi"/>
          <w:i/>
          <w:sz w:val="24"/>
          <w:szCs w:val="24"/>
          <w:u w:val="single"/>
        </w:rPr>
        <w:t>Klebsiella pneumoniae</w:t>
      </w:r>
      <w:r w:rsidRPr="00BF5412">
        <w:rPr>
          <w:rFonts w:asciiTheme="majorHAnsi" w:hAnsiTheme="majorHAnsi"/>
          <w:sz w:val="24"/>
          <w:szCs w:val="24"/>
        </w:rPr>
        <w:t xml:space="preserve"> (24.6%). The study showed </w:t>
      </w:r>
      <w:r w:rsidRPr="00BF5412">
        <w:rPr>
          <w:rFonts w:asciiTheme="majorHAnsi" w:hAnsiTheme="majorHAnsi"/>
          <w:i/>
          <w:sz w:val="24"/>
          <w:szCs w:val="24"/>
          <w:u w:val="single"/>
        </w:rPr>
        <w:t>Streptococcuss enterococci</w:t>
      </w:r>
      <w:r w:rsidRPr="00BF5412">
        <w:rPr>
          <w:rFonts w:asciiTheme="majorHAnsi" w:hAnsiTheme="majorHAnsi"/>
          <w:sz w:val="24"/>
          <w:szCs w:val="24"/>
        </w:rPr>
        <w:t xml:space="preserve"> to be present only in male students (p&gt;0.05).</w:t>
      </w:r>
    </w:p>
    <w:p w:rsidR="009A652C" w:rsidRPr="00BF5412" w:rsidRDefault="009A652C" w:rsidP="00BF5412">
      <w:pPr>
        <w:spacing w:line="360" w:lineRule="auto"/>
        <w:jc w:val="both"/>
        <w:rPr>
          <w:rFonts w:asciiTheme="majorHAnsi" w:hAnsiTheme="majorHAnsi"/>
          <w:sz w:val="24"/>
          <w:szCs w:val="24"/>
        </w:rPr>
      </w:pPr>
      <w:r w:rsidRPr="00BF5412">
        <w:rPr>
          <w:rFonts w:asciiTheme="majorHAnsi" w:hAnsiTheme="majorHAnsi"/>
          <w:sz w:val="24"/>
          <w:szCs w:val="24"/>
        </w:rPr>
        <w:t xml:space="preserve">The </w:t>
      </w:r>
      <w:r w:rsidR="00BF5412" w:rsidRPr="00BF5412">
        <w:rPr>
          <w:rFonts w:asciiTheme="majorHAnsi" w:hAnsiTheme="majorHAnsi"/>
          <w:sz w:val="24"/>
          <w:szCs w:val="24"/>
        </w:rPr>
        <w:t>higher</w:t>
      </w:r>
      <w:r w:rsidRPr="00BF5412">
        <w:rPr>
          <w:rFonts w:asciiTheme="majorHAnsi" w:hAnsiTheme="majorHAnsi"/>
          <w:sz w:val="24"/>
          <w:szCs w:val="24"/>
        </w:rPr>
        <w:t xml:space="preserve"> carriage rate </w:t>
      </w:r>
      <w:r w:rsidR="00BF5412" w:rsidRPr="00BF5412">
        <w:rPr>
          <w:rFonts w:asciiTheme="majorHAnsi" w:hAnsiTheme="majorHAnsi"/>
          <w:sz w:val="24"/>
          <w:szCs w:val="24"/>
        </w:rPr>
        <w:t>recorded</w:t>
      </w:r>
      <w:r w:rsidRPr="00BF5412">
        <w:rPr>
          <w:rFonts w:asciiTheme="majorHAnsi" w:hAnsiTheme="majorHAnsi"/>
          <w:sz w:val="24"/>
          <w:szCs w:val="24"/>
        </w:rPr>
        <w:t xml:space="preserve"> in female was found to be due to factors which include; the inability of females to empty their b</w:t>
      </w:r>
      <w:r w:rsidR="00BF5412">
        <w:rPr>
          <w:rFonts w:asciiTheme="majorHAnsi" w:hAnsiTheme="majorHAnsi"/>
          <w:sz w:val="24"/>
          <w:szCs w:val="24"/>
        </w:rPr>
        <w:t>ladder as completely as do male</w:t>
      </w:r>
      <w:r w:rsidRPr="00BF5412">
        <w:rPr>
          <w:rFonts w:asciiTheme="majorHAnsi" w:hAnsiTheme="majorHAnsi"/>
          <w:sz w:val="24"/>
          <w:szCs w:val="24"/>
        </w:rPr>
        <w:t xml:space="preserve">s, the continual contamination of the urethra by bacteria pathogens from the vagina and </w:t>
      </w:r>
      <w:r w:rsidR="00BF5412" w:rsidRPr="00BF5412">
        <w:rPr>
          <w:rFonts w:asciiTheme="majorHAnsi" w:hAnsiTheme="majorHAnsi"/>
          <w:sz w:val="24"/>
          <w:szCs w:val="24"/>
        </w:rPr>
        <w:t>rectum, the</w:t>
      </w:r>
      <w:r w:rsidRPr="00BF5412">
        <w:rPr>
          <w:rFonts w:asciiTheme="majorHAnsi" w:hAnsiTheme="majorHAnsi"/>
          <w:sz w:val="24"/>
          <w:szCs w:val="24"/>
        </w:rPr>
        <w:t xml:space="preserve"> short </w:t>
      </w:r>
      <w:r w:rsidR="00BF5412" w:rsidRPr="00BF5412">
        <w:rPr>
          <w:rFonts w:asciiTheme="majorHAnsi" w:hAnsiTheme="majorHAnsi"/>
          <w:sz w:val="24"/>
          <w:szCs w:val="24"/>
        </w:rPr>
        <w:t>urethra</w:t>
      </w:r>
      <w:r w:rsidRPr="00BF5412">
        <w:rPr>
          <w:rFonts w:asciiTheme="majorHAnsi" w:hAnsiTheme="majorHAnsi"/>
          <w:sz w:val="24"/>
          <w:szCs w:val="24"/>
        </w:rPr>
        <w:t xml:space="preserve">, the passage of bacteria into the bladder during sexual intercourse and also the introduction of bacteria into the urethra by the action of cleaning back or front after voiding as found in females, contributes to the contamination of the urethra by bacteria from the anal or vaginal area resulting in the high frequency of urinary tract infections in females than </w:t>
      </w:r>
      <w:r w:rsidR="00792278">
        <w:rPr>
          <w:rFonts w:asciiTheme="majorHAnsi" w:hAnsiTheme="majorHAnsi"/>
          <w:sz w:val="24"/>
          <w:szCs w:val="24"/>
        </w:rPr>
        <w:t>i</w:t>
      </w:r>
      <w:r w:rsidRPr="00BF5412">
        <w:rPr>
          <w:rFonts w:asciiTheme="majorHAnsi" w:hAnsiTheme="majorHAnsi"/>
          <w:sz w:val="24"/>
          <w:szCs w:val="24"/>
        </w:rPr>
        <w:t>n males.</w:t>
      </w:r>
    </w:p>
    <w:p w:rsidR="009A652C" w:rsidRPr="00BF5412" w:rsidRDefault="009A652C" w:rsidP="00BF5412">
      <w:pPr>
        <w:spacing w:line="360" w:lineRule="auto"/>
        <w:jc w:val="both"/>
        <w:rPr>
          <w:rFonts w:asciiTheme="majorHAnsi" w:hAnsiTheme="majorHAnsi"/>
          <w:sz w:val="24"/>
          <w:szCs w:val="24"/>
        </w:rPr>
      </w:pPr>
      <w:r w:rsidRPr="00BF5412">
        <w:rPr>
          <w:rFonts w:asciiTheme="majorHAnsi" w:hAnsiTheme="majorHAnsi"/>
          <w:sz w:val="24"/>
          <w:szCs w:val="24"/>
        </w:rPr>
        <w:t>The study showed that students who are sexually active,</w:t>
      </w:r>
      <w:r w:rsidR="00BF5412">
        <w:rPr>
          <w:rFonts w:asciiTheme="majorHAnsi" w:hAnsiTheme="majorHAnsi"/>
          <w:sz w:val="24"/>
          <w:szCs w:val="24"/>
        </w:rPr>
        <w:t xml:space="preserve"> </w:t>
      </w:r>
      <w:r w:rsidRPr="00BF5412">
        <w:rPr>
          <w:rFonts w:asciiTheme="majorHAnsi" w:hAnsiTheme="majorHAnsi"/>
          <w:sz w:val="24"/>
          <w:szCs w:val="24"/>
        </w:rPr>
        <w:t xml:space="preserve">abuse the use of drugs and have poor personal </w:t>
      </w:r>
      <w:r w:rsidR="00BF5412" w:rsidRPr="00BF5412">
        <w:rPr>
          <w:rFonts w:asciiTheme="majorHAnsi" w:hAnsiTheme="majorHAnsi"/>
          <w:sz w:val="24"/>
          <w:szCs w:val="24"/>
        </w:rPr>
        <w:t>hygiene</w:t>
      </w:r>
      <w:r w:rsidRPr="00BF5412">
        <w:rPr>
          <w:rFonts w:asciiTheme="majorHAnsi" w:hAnsiTheme="majorHAnsi"/>
          <w:sz w:val="24"/>
          <w:szCs w:val="24"/>
        </w:rPr>
        <w:t xml:space="preserve"> exhibited a higher prevalence of urinary tract infections as </w:t>
      </w:r>
      <w:r w:rsidR="00BF5412" w:rsidRPr="00BF5412">
        <w:rPr>
          <w:rFonts w:asciiTheme="majorHAnsi" w:hAnsiTheme="majorHAnsi"/>
          <w:sz w:val="24"/>
          <w:szCs w:val="24"/>
        </w:rPr>
        <w:t>compared with</w:t>
      </w:r>
      <w:r w:rsidRPr="00BF5412">
        <w:rPr>
          <w:rFonts w:asciiTheme="majorHAnsi" w:hAnsiTheme="majorHAnsi"/>
          <w:sz w:val="24"/>
          <w:szCs w:val="24"/>
        </w:rPr>
        <w:t xml:space="preserve"> students who did not indulge in such activities in Tai Solarin University of Education.</w:t>
      </w:r>
    </w:p>
    <w:p w:rsidR="009A652C" w:rsidRPr="00BF5412" w:rsidRDefault="009A652C" w:rsidP="00BF5412">
      <w:pPr>
        <w:spacing w:line="360" w:lineRule="auto"/>
        <w:jc w:val="both"/>
        <w:rPr>
          <w:rFonts w:asciiTheme="majorHAnsi" w:hAnsiTheme="majorHAnsi"/>
          <w:sz w:val="24"/>
          <w:szCs w:val="24"/>
        </w:rPr>
      </w:pPr>
      <w:r w:rsidRPr="00BF5412">
        <w:rPr>
          <w:rFonts w:asciiTheme="majorHAnsi" w:hAnsiTheme="majorHAnsi"/>
          <w:sz w:val="24"/>
          <w:szCs w:val="24"/>
        </w:rPr>
        <w:t xml:space="preserve">The </w:t>
      </w:r>
      <w:r w:rsidR="00BF5412" w:rsidRPr="00BF5412">
        <w:rPr>
          <w:rFonts w:asciiTheme="majorHAnsi" w:hAnsiTheme="majorHAnsi"/>
          <w:sz w:val="24"/>
          <w:szCs w:val="24"/>
        </w:rPr>
        <w:t>Antibiotic sensitivity pattern</w:t>
      </w:r>
      <w:r w:rsidRPr="00BF5412">
        <w:rPr>
          <w:rFonts w:asciiTheme="majorHAnsi" w:hAnsiTheme="majorHAnsi"/>
          <w:sz w:val="24"/>
          <w:szCs w:val="24"/>
        </w:rPr>
        <w:t xml:space="preserve"> revealed that the isolated bacteria were highly susceptible to the activity of Rocephine, Ofloxacin, Ciproxin, Erythromycin, Nitrofurantoin and Claforan. The </w:t>
      </w:r>
      <w:r w:rsidR="00792278" w:rsidRPr="00BF5412">
        <w:rPr>
          <w:rFonts w:asciiTheme="majorHAnsi" w:hAnsiTheme="majorHAnsi"/>
          <w:sz w:val="24"/>
          <w:szCs w:val="24"/>
        </w:rPr>
        <w:t>isolated</w:t>
      </w:r>
      <w:r w:rsidRPr="00BF5412">
        <w:rPr>
          <w:rFonts w:asciiTheme="majorHAnsi" w:hAnsiTheme="majorHAnsi"/>
          <w:sz w:val="24"/>
          <w:szCs w:val="24"/>
        </w:rPr>
        <w:t xml:space="preserve"> bacteria were also highly </w:t>
      </w:r>
      <w:r w:rsidR="00792278" w:rsidRPr="00BF5412">
        <w:rPr>
          <w:rFonts w:asciiTheme="majorHAnsi" w:hAnsiTheme="majorHAnsi"/>
          <w:sz w:val="24"/>
          <w:szCs w:val="24"/>
        </w:rPr>
        <w:t>resistant</w:t>
      </w:r>
      <w:r w:rsidRPr="00BF5412">
        <w:rPr>
          <w:rFonts w:asciiTheme="majorHAnsi" w:hAnsiTheme="majorHAnsi"/>
          <w:sz w:val="24"/>
          <w:szCs w:val="24"/>
        </w:rPr>
        <w:t xml:space="preserve"> to the activity of Ampicillin, Penicillin and </w:t>
      </w:r>
      <w:r w:rsidR="00792278" w:rsidRPr="00BF5412">
        <w:rPr>
          <w:rFonts w:asciiTheme="majorHAnsi" w:hAnsiTheme="majorHAnsi"/>
          <w:sz w:val="24"/>
          <w:szCs w:val="24"/>
        </w:rPr>
        <w:t>Tetracycline</w:t>
      </w:r>
      <w:r w:rsidRPr="00BF5412">
        <w:rPr>
          <w:rFonts w:asciiTheme="majorHAnsi" w:hAnsiTheme="majorHAnsi"/>
          <w:sz w:val="24"/>
          <w:szCs w:val="24"/>
        </w:rPr>
        <w:t>.</w:t>
      </w:r>
    </w:p>
    <w:sectPr w:rsidR="009A652C" w:rsidRPr="00BF5412" w:rsidSect="006F58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A652C"/>
    <w:rsid w:val="005B29B2"/>
    <w:rsid w:val="00643BD2"/>
    <w:rsid w:val="006F5823"/>
    <w:rsid w:val="00792278"/>
    <w:rsid w:val="009A652C"/>
    <w:rsid w:val="00BF5412"/>
    <w:rsid w:val="00CA1CCC"/>
    <w:rsid w:val="00FA5E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8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2016-09-06T08:45:00Z</dcterms:created>
  <dcterms:modified xsi:type="dcterms:W3CDTF">2016-09-06T09:40:00Z</dcterms:modified>
</cp:coreProperties>
</file>