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D87" w:rsidRDefault="00A31D87" w:rsidP="00A31D87">
      <w:pPr>
        <w:shd w:val="clear" w:color="auto" w:fill="FFFFFF"/>
        <w:spacing w:before="240" w:after="12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val="en"/>
        </w:rPr>
      </w:pPr>
      <w:proofErr w:type="spellStart"/>
      <w:r w:rsidRPr="00A31D87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val="en"/>
        </w:rPr>
        <w:t>Thymol</w:t>
      </w:r>
      <w:proofErr w:type="spellEnd"/>
      <w:r w:rsidRPr="00A31D87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val="en"/>
        </w:rPr>
        <w:t xml:space="preserve"> Induces Conidial Apoptosis in Aspergillus </w:t>
      </w:r>
      <w:proofErr w:type="spellStart"/>
      <w:r w:rsidRPr="00A31D87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val="en"/>
        </w:rPr>
        <w:t>flavus</w:t>
      </w:r>
      <w:proofErr w:type="spellEnd"/>
      <w:r w:rsidRPr="00A31D87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val="en"/>
        </w:rPr>
        <w:t xml:space="preserve"> via Stimulating K</w:t>
      </w:r>
      <w:r w:rsidRPr="00A31D8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vertAlign w:val="superscript"/>
          <w:lang w:val="en"/>
        </w:rPr>
        <w:t>+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val="en"/>
        </w:rPr>
        <w:t xml:space="preserve"> Eruption</w:t>
      </w:r>
    </w:p>
    <w:p w:rsidR="00A31D87" w:rsidRPr="00A31D87" w:rsidRDefault="00A31D87" w:rsidP="00A31D87">
      <w:pPr>
        <w:shd w:val="clear" w:color="auto" w:fill="FFFFFF"/>
        <w:spacing w:before="240" w:after="12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val="en"/>
        </w:rPr>
      </w:pPr>
    </w:p>
    <w:p w:rsidR="00A31D87" w:rsidRDefault="00A31D87" w:rsidP="00A31D87">
      <w:pPr>
        <w:jc w:val="center"/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Liangbin Hu</w:t>
      </w:r>
      <w:r w:rsidRPr="00A31D87">
        <w:rPr>
          <w:rFonts w:ascii="Arial" w:hAnsi="Arial" w:cs="Arial"/>
          <w:sz w:val="20"/>
          <w:szCs w:val="20"/>
          <w:vertAlign w:val="superscript"/>
          <w:lang w:val="en"/>
        </w:rPr>
        <w:t>1</w:t>
      </w:r>
      <w:r>
        <w:rPr>
          <w:rFonts w:ascii="Arial" w:hAnsi="Arial" w:cs="Arial"/>
          <w:sz w:val="20"/>
          <w:szCs w:val="20"/>
          <w:lang w:val="en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lang w:val="en"/>
        </w:rPr>
        <w:t>Haizhen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Mo</w:t>
      </w:r>
      <w:r w:rsidRPr="00A31D87">
        <w:rPr>
          <w:rFonts w:ascii="Arial" w:hAnsi="Arial" w:cs="Arial"/>
          <w:sz w:val="20"/>
          <w:szCs w:val="20"/>
          <w:vertAlign w:val="superscript"/>
          <w:lang w:val="en"/>
        </w:rPr>
        <w:t>1</w:t>
      </w:r>
      <w:r>
        <w:rPr>
          <w:rFonts w:ascii="Arial" w:hAnsi="Arial" w:cs="Arial"/>
          <w:sz w:val="20"/>
          <w:szCs w:val="20"/>
          <w:lang w:val="en"/>
        </w:rPr>
        <w:t xml:space="preserve"> and Xiaohui Zhou</w:t>
      </w:r>
      <w:r w:rsidRPr="00A31D87">
        <w:rPr>
          <w:rFonts w:ascii="Arial" w:hAnsi="Arial" w:cs="Arial"/>
          <w:sz w:val="20"/>
          <w:szCs w:val="20"/>
          <w:vertAlign w:val="superscript"/>
          <w:lang w:val="en"/>
        </w:rPr>
        <w:t>2</w:t>
      </w:r>
    </w:p>
    <w:p w:rsidR="00A31D87" w:rsidRDefault="00A31D87" w:rsidP="00A31D87">
      <w:pPr>
        <w:rPr>
          <w:rFonts w:ascii="Arial" w:hAnsi="Arial" w:cs="Arial"/>
          <w:sz w:val="20"/>
          <w:szCs w:val="20"/>
          <w:lang w:val="en"/>
        </w:rPr>
      </w:pPr>
      <w:r w:rsidRPr="00A31D87">
        <w:rPr>
          <w:rFonts w:ascii="Arial" w:hAnsi="Arial" w:cs="Arial"/>
          <w:sz w:val="20"/>
          <w:szCs w:val="20"/>
          <w:vertAlign w:val="superscript"/>
          <w:lang w:val="en"/>
        </w:rPr>
        <w:t xml:space="preserve">1 </w:t>
      </w:r>
      <w:r>
        <w:rPr>
          <w:rFonts w:ascii="Arial" w:hAnsi="Arial" w:cs="Arial"/>
          <w:sz w:val="20"/>
          <w:szCs w:val="20"/>
          <w:lang w:val="en"/>
        </w:rPr>
        <w:t>Department of Food Science</w:t>
      </w:r>
      <w:r w:rsidRPr="00A31D87">
        <w:rPr>
          <w:rFonts w:ascii="Arial" w:hAnsi="Arial" w:cs="Arial"/>
          <w:sz w:val="20"/>
          <w:szCs w:val="20"/>
          <w:lang w:val="en"/>
        </w:rPr>
        <w:t>, Henan Inst</w:t>
      </w:r>
      <w:r>
        <w:rPr>
          <w:rFonts w:ascii="Arial" w:hAnsi="Arial" w:cs="Arial"/>
          <w:sz w:val="20"/>
          <w:szCs w:val="20"/>
          <w:lang w:val="en"/>
        </w:rPr>
        <w:t>itute of Science and Technology</w:t>
      </w:r>
      <w:r w:rsidRPr="00A31D87">
        <w:rPr>
          <w:rFonts w:ascii="Arial" w:hAnsi="Arial" w:cs="Arial"/>
          <w:sz w:val="20"/>
          <w:szCs w:val="20"/>
          <w:lang w:val="en"/>
        </w:rPr>
        <w:t xml:space="preserve">, Xinxiang </w:t>
      </w:r>
      <w:proofErr w:type="gramStart"/>
      <w:r w:rsidRPr="00A31D87">
        <w:rPr>
          <w:rFonts w:ascii="Arial" w:hAnsi="Arial" w:cs="Arial"/>
          <w:sz w:val="20"/>
          <w:szCs w:val="20"/>
          <w:lang w:val="en"/>
        </w:rPr>
        <w:t>453003 ,</w:t>
      </w:r>
      <w:proofErr w:type="gramEnd"/>
      <w:r w:rsidRPr="00A31D87">
        <w:rPr>
          <w:rFonts w:ascii="Arial" w:hAnsi="Arial" w:cs="Arial"/>
          <w:sz w:val="20"/>
          <w:szCs w:val="20"/>
          <w:lang w:val="en"/>
        </w:rPr>
        <w:t xml:space="preserve"> China</w:t>
      </w:r>
    </w:p>
    <w:p w:rsidR="00A31D87" w:rsidRDefault="00A31D87" w:rsidP="00A31D87">
      <w:pPr>
        <w:rPr>
          <w:rFonts w:ascii="Arial" w:hAnsi="Arial" w:cs="Arial"/>
          <w:sz w:val="20"/>
          <w:szCs w:val="20"/>
          <w:lang w:val="en"/>
        </w:rPr>
      </w:pPr>
      <w:r w:rsidRPr="00A31D87">
        <w:rPr>
          <w:rFonts w:ascii="Arial" w:hAnsi="Arial" w:cs="Arial"/>
          <w:sz w:val="20"/>
          <w:szCs w:val="20"/>
          <w:vertAlign w:val="superscript"/>
          <w:lang w:val="en"/>
        </w:rPr>
        <w:t xml:space="preserve">2 </w:t>
      </w:r>
      <w:r>
        <w:rPr>
          <w:rFonts w:ascii="Arial" w:hAnsi="Arial" w:cs="Arial"/>
          <w:sz w:val="20"/>
          <w:szCs w:val="20"/>
          <w:lang w:val="en"/>
        </w:rPr>
        <w:t>Department of Pathobiology and Veterinary Science, University of Connecticut, Storrs, CT, 06269, USA</w:t>
      </w:r>
    </w:p>
    <w:p w:rsidR="00A31D87" w:rsidRDefault="00A31D87" w:rsidP="00A31D87">
      <w:pPr>
        <w:rPr>
          <w:rFonts w:ascii="Arial" w:hAnsi="Arial" w:cs="Arial"/>
          <w:sz w:val="20"/>
          <w:szCs w:val="20"/>
          <w:lang w:val="en"/>
        </w:rPr>
      </w:pPr>
    </w:p>
    <w:p w:rsidR="006C57A7" w:rsidRPr="00A31D87" w:rsidRDefault="00A31D87" w:rsidP="00A31D87">
      <w:r>
        <w:rPr>
          <w:rFonts w:ascii="Arial" w:hAnsi="Arial" w:cs="Arial"/>
          <w:sz w:val="20"/>
          <w:szCs w:val="20"/>
          <w:lang w:val="en"/>
        </w:rPr>
        <w:t xml:space="preserve">Aspergillus </w:t>
      </w:r>
      <w:proofErr w:type="spellStart"/>
      <w:r>
        <w:rPr>
          <w:rFonts w:ascii="Arial" w:hAnsi="Arial" w:cs="Arial"/>
          <w:sz w:val="20"/>
          <w:szCs w:val="20"/>
          <w:lang w:val="en"/>
        </w:rPr>
        <w:t>flavus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is a notorious foodborne fungus, posing a significant risk to humans in the form of hepatocellular carcinoma or </w:t>
      </w:r>
      <w:proofErr w:type="spellStart"/>
      <w:r>
        <w:rPr>
          <w:rFonts w:ascii="Arial" w:hAnsi="Arial" w:cs="Arial"/>
          <w:sz w:val="20"/>
          <w:szCs w:val="20"/>
          <w:lang w:val="en"/>
        </w:rPr>
        <w:t>aspergillosis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  <w:lang w:val="en"/>
        </w:rPr>
        <w:t>Thymol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, as a food preservative, could efficiently kill conidia of A. </w:t>
      </w:r>
      <w:proofErr w:type="spellStart"/>
      <w:r>
        <w:rPr>
          <w:rFonts w:ascii="Arial" w:hAnsi="Arial" w:cs="Arial"/>
          <w:sz w:val="20"/>
          <w:szCs w:val="20"/>
          <w:lang w:val="en"/>
        </w:rPr>
        <w:t>flavus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. However, the underlying mechanisms by which </w:t>
      </w:r>
      <w:proofErr w:type="spellStart"/>
      <w:r>
        <w:rPr>
          <w:rFonts w:ascii="Arial" w:hAnsi="Arial" w:cs="Arial"/>
          <w:sz w:val="20"/>
          <w:szCs w:val="20"/>
          <w:lang w:val="en"/>
        </w:rPr>
        <w:t>thymol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kills A. </w:t>
      </w:r>
      <w:proofErr w:type="spellStart"/>
      <w:r>
        <w:rPr>
          <w:rFonts w:ascii="Arial" w:hAnsi="Arial" w:cs="Arial"/>
          <w:sz w:val="20"/>
          <w:szCs w:val="20"/>
          <w:lang w:val="en"/>
        </w:rPr>
        <w:t>flavus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are not completely understood. With specific fluorescent dyes, we detected several apoptotic hallmarks, including chromatin condensation, phosphatidylserine externalization, DNA damage, mitochondrial depolarization, and caspase 9 activation in conidia exposed to 200 </w:t>
      </w:r>
      <w:proofErr w:type="spellStart"/>
      <w:r>
        <w:rPr>
          <w:rFonts w:ascii="Arial" w:hAnsi="Arial" w:cs="Arial"/>
          <w:sz w:val="20"/>
          <w:szCs w:val="20"/>
          <w:lang w:val="en"/>
        </w:rPr>
        <w:t>μg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/mL of </w:t>
      </w:r>
      <w:proofErr w:type="spellStart"/>
      <w:r>
        <w:rPr>
          <w:rFonts w:ascii="Arial" w:hAnsi="Arial" w:cs="Arial"/>
          <w:sz w:val="20"/>
          <w:szCs w:val="20"/>
          <w:lang w:val="en"/>
        </w:rPr>
        <w:t>thymol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, indicating that </w:t>
      </w:r>
      <w:proofErr w:type="spellStart"/>
      <w:r>
        <w:rPr>
          <w:rFonts w:ascii="Arial" w:hAnsi="Arial" w:cs="Arial"/>
          <w:sz w:val="20"/>
          <w:szCs w:val="20"/>
          <w:lang w:val="en"/>
        </w:rPr>
        <w:t>thymol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induced a caspase-dependent conidial apoptosis in A. </w:t>
      </w:r>
      <w:proofErr w:type="spellStart"/>
      <w:r>
        <w:rPr>
          <w:rFonts w:ascii="Arial" w:hAnsi="Arial" w:cs="Arial"/>
          <w:sz w:val="20"/>
          <w:szCs w:val="20"/>
          <w:lang w:val="en"/>
        </w:rPr>
        <w:t>flavus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. Chemical-protein </w:t>
      </w:r>
      <w:proofErr w:type="spellStart"/>
      <w:r>
        <w:rPr>
          <w:rFonts w:ascii="Arial" w:hAnsi="Arial" w:cs="Arial"/>
          <w:sz w:val="20"/>
          <w:szCs w:val="20"/>
          <w:lang w:val="en"/>
        </w:rPr>
        <w:t>interactome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(CPI) and </w:t>
      </w:r>
      <w:proofErr w:type="spellStart"/>
      <w:r>
        <w:rPr>
          <w:rFonts w:ascii="Arial" w:hAnsi="Arial" w:cs="Arial"/>
          <w:sz w:val="20"/>
          <w:szCs w:val="20"/>
          <w:lang w:val="en"/>
        </w:rPr>
        <w:t>autodock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analyses showed that KCNAB, homologue to the β-subunit of the voltage-gated potassium channel (</w:t>
      </w:r>
      <w:proofErr w:type="spellStart"/>
      <w:r>
        <w:rPr>
          <w:rFonts w:ascii="Arial" w:hAnsi="Arial" w:cs="Arial"/>
          <w:sz w:val="20"/>
          <w:szCs w:val="20"/>
          <w:lang w:val="en"/>
        </w:rPr>
        <w:t>Kv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) and </w:t>
      </w:r>
      <w:proofErr w:type="spellStart"/>
      <w:r>
        <w:rPr>
          <w:rFonts w:ascii="Arial" w:hAnsi="Arial" w:cs="Arial"/>
          <w:sz w:val="20"/>
          <w:szCs w:val="20"/>
          <w:lang w:val="en"/>
        </w:rPr>
        <w:t>aldo-keto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reductase, was the potential target of </w:t>
      </w:r>
      <w:proofErr w:type="spellStart"/>
      <w:r>
        <w:rPr>
          <w:rFonts w:ascii="Arial" w:hAnsi="Arial" w:cs="Arial"/>
          <w:sz w:val="20"/>
          <w:szCs w:val="20"/>
          <w:lang w:val="en"/>
        </w:rPr>
        <w:t>thymol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. Following studies demonstrated that </w:t>
      </w:r>
      <w:proofErr w:type="spellStart"/>
      <w:r>
        <w:rPr>
          <w:rFonts w:ascii="Arial" w:hAnsi="Arial" w:cs="Arial"/>
          <w:sz w:val="20"/>
          <w:szCs w:val="20"/>
          <w:lang w:val="en"/>
        </w:rPr>
        <w:t>thymol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could activate the </w:t>
      </w:r>
      <w:proofErr w:type="spellStart"/>
      <w:r>
        <w:rPr>
          <w:rFonts w:ascii="Arial" w:hAnsi="Arial" w:cs="Arial"/>
          <w:sz w:val="20"/>
          <w:szCs w:val="20"/>
          <w:lang w:val="en"/>
        </w:rPr>
        <w:t>aldo-keto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reductase activity of KCNAB in vitro and stimulate a transient K</w:t>
      </w:r>
      <w:r>
        <w:rPr>
          <w:rFonts w:ascii="Arial" w:hAnsi="Arial" w:cs="Arial"/>
          <w:sz w:val="17"/>
          <w:szCs w:val="17"/>
          <w:vertAlign w:val="superscript"/>
          <w:lang w:val="en"/>
        </w:rPr>
        <w:t>+</w:t>
      </w:r>
      <w:r>
        <w:rPr>
          <w:rFonts w:ascii="Arial" w:hAnsi="Arial" w:cs="Arial"/>
          <w:sz w:val="20"/>
          <w:szCs w:val="20"/>
          <w:lang w:val="en"/>
        </w:rPr>
        <w:t xml:space="preserve"> efflux in conidia, as determined using a Port-a-Patch. Blocking K</w:t>
      </w:r>
      <w:r>
        <w:rPr>
          <w:rFonts w:ascii="Arial" w:hAnsi="Arial" w:cs="Arial"/>
          <w:sz w:val="17"/>
          <w:szCs w:val="17"/>
          <w:vertAlign w:val="superscript"/>
          <w:lang w:val="en"/>
        </w:rPr>
        <w:t>+</w:t>
      </w:r>
      <w:r>
        <w:rPr>
          <w:rFonts w:ascii="Arial" w:hAnsi="Arial" w:cs="Arial"/>
          <w:sz w:val="20"/>
          <w:szCs w:val="20"/>
          <w:lang w:val="en"/>
        </w:rPr>
        <w:t xml:space="preserve"> eruption by 4-aminopyridine (a universal inhibitor of </w:t>
      </w:r>
      <w:proofErr w:type="spellStart"/>
      <w:r>
        <w:rPr>
          <w:rFonts w:ascii="Arial" w:hAnsi="Arial" w:cs="Arial"/>
          <w:sz w:val="20"/>
          <w:szCs w:val="20"/>
          <w:lang w:val="en"/>
        </w:rPr>
        <w:t>Kv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) could significantly alleviate </w:t>
      </w:r>
      <w:proofErr w:type="spellStart"/>
      <w:r>
        <w:rPr>
          <w:rFonts w:ascii="Arial" w:hAnsi="Arial" w:cs="Arial"/>
          <w:sz w:val="20"/>
          <w:szCs w:val="20"/>
          <w:lang w:val="en"/>
        </w:rPr>
        <w:t>thymol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-mediated conidial apoptosis, indicating that activation of </w:t>
      </w:r>
      <w:proofErr w:type="spellStart"/>
      <w:r>
        <w:rPr>
          <w:rFonts w:ascii="Arial" w:hAnsi="Arial" w:cs="Arial"/>
          <w:sz w:val="20"/>
          <w:szCs w:val="20"/>
          <w:lang w:val="en"/>
        </w:rPr>
        <w:t>Kv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was responsible for the apoptosis. Taken together, our results revealed a K</w:t>
      </w:r>
      <w:r>
        <w:rPr>
          <w:rFonts w:ascii="Arial" w:hAnsi="Arial" w:cs="Arial"/>
          <w:sz w:val="17"/>
          <w:szCs w:val="17"/>
          <w:vertAlign w:val="superscript"/>
          <w:lang w:val="en"/>
        </w:rPr>
        <w:t>+</w:t>
      </w:r>
      <w:r>
        <w:rPr>
          <w:rFonts w:ascii="Arial" w:hAnsi="Arial" w:cs="Arial"/>
          <w:sz w:val="20"/>
          <w:szCs w:val="20"/>
          <w:lang w:val="en"/>
        </w:rPr>
        <w:t xml:space="preserve"> efflux-mediated apoptotic pathway in A. </w:t>
      </w:r>
      <w:proofErr w:type="spellStart"/>
      <w:r>
        <w:rPr>
          <w:rFonts w:ascii="Arial" w:hAnsi="Arial" w:cs="Arial"/>
          <w:sz w:val="20"/>
          <w:szCs w:val="20"/>
          <w:lang w:val="en"/>
        </w:rPr>
        <w:t>flavus</w:t>
      </w:r>
      <w:proofErr w:type="spellEnd"/>
      <w:r>
        <w:rPr>
          <w:rFonts w:ascii="Arial" w:hAnsi="Arial" w:cs="Arial"/>
          <w:sz w:val="20"/>
          <w:szCs w:val="20"/>
          <w:lang w:val="en"/>
        </w:rPr>
        <w:t>, which greatly contributed to the development of an alternative strategy to control this pathogen.</w:t>
      </w:r>
      <w:bookmarkStart w:id="0" w:name="_GoBack"/>
      <w:bookmarkEnd w:id="0"/>
    </w:p>
    <w:sectPr w:rsidR="006C57A7" w:rsidRPr="00A31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D87"/>
    <w:rsid w:val="006C57A7"/>
    <w:rsid w:val="00A3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DB22E"/>
  <w15:chartTrackingRefBased/>
  <w15:docId w15:val="{E896A488-1B40-42B5-A9A4-62169262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31D87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D87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8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1939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0301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2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9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610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81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Connecticut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Zhou, Xiaohui</dc:creator>
  <cp:keywords/>
  <dc:description/>
  <cp:lastModifiedBy>Zhou, Xiaohui</cp:lastModifiedBy>
  <cp:revision>1</cp:revision>
  <dcterms:created xsi:type="dcterms:W3CDTF">2018-12-07T13:45:00Z</dcterms:created>
  <dcterms:modified xsi:type="dcterms:W3CDTF">2018-12-07T13:50:00Z</dcterms:modified>
</cp:coreProperties>
</file>