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E5CE5" w14:textId="77777777" w:rsidR="00996279" w:rsidRDefault="00996279" w:rsidP="00996279">
      <w:pPr>
        <w:rPr>
          <w:rFonts w:ascii="Times" w:hAnsi="Times"/>
          <w:b/>
          <w:bCs/>
        </w:rPr>
      </w:pPr>
    </w:p>
    <w:p w14:paraId="267E8CEB" w14:textId="77777777" w:rsidR="00996279" w:rsidRPr="00633CD0" w:rsidRDefault="00996279" w:rsidP="00996279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 xml:space="preserve">Acute Myelitis following </w:t>
      </w:r>
      <w:r w:rsidRPr="00633CD0">
        <w:rPr>
          <w:rFonts w:ascii="Times" w:hAnsi="Times"/>
          <w:b/>
          <w:bCs/>
        </w:rPr>
        <w:t xml:space="preserve">COVID-19 </w:t>
      </w:r>
      <w:r>
        <w:rPr>
          <w:rFonts w:ascii="Times" w:hAnsi="Times"/>
          <w:b/>
          <w:bCs/>
        </w:rPr>
        <w:t>infection</w:t>
      </w:r>
    </w:p>
    <w:p w14:paraId="5FF0D109" w14:textId="77777777" w:rsidR="00996279" w:rsidRPr="00485975" w:rsidRDefault="00996279" w:rsidP="00996279">
      <w:pPr>
        <w:rPr>
          <w:color w:val="000000" w:themeColor="text1"/>
          <w:sz w:val="20"/>
          <w:szCs w:val="20"/>
          <w:shd w:val="clear" w:color="auto" w:fill="FFFFFF"/>
        </w:rPr>
      </w:pPr>
    </w:p>
    <w:p w14:paraId="349032EB" w14:textId="7C91ADF6" w:rsidR="00996279" w:rsidRPr="00485975" w:rsidRDefault="00F30777" w:rsidP="00996279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Eni Reka</w:t>
      </w:r>
      <w:r w:rsidR="00482D4E" w:rsidRPr="00482D4E">
        <w:rPr>
          <w:color w:val="000000" w:themeColor="text1"/>
          <w:sz w:val="20"/>
          <w:szCs w:val="20"/>
          <w:vertAlign w:val="superscript"/>
        </w:rPr>
        <w:t xml:space="preserve">1 </w:t>
      </w:r>
      <w:r w:rsidR="00482D4E">
        <w:rPr>
          <w:color w:val="000000" w:themeColor="text1"/>
          <w:sz w:val="20"/>
          <w:szCs w:val="20"/>
          <w:vertAlign w:val="superscript"/>
        </w:rPr>
        <w:t xml:space="preserve">  </w:t>
      </w:r>
      <w:proofErr w:type="spellStart"/>
      <w:r w:rsidR="00482D4E">
        <w:rPr>
          <w:color w:val="000000" w:themeColor="text1"/>
          <w:sz w:val="20"/>
          <w:szCs w:val="20"/>
        </w:rPr>
        <w:t>Altin</w:t>
      </w:r>
      <w:proofErr w:type="spellEnd"/>
      <w:r w:rsidR="00482D4E">
        <w:rPr>
          <w:color w:val="000000" w:themeColor="text1"/>
          <w:sz w:val="20"/>
          <w:szCs w:val="20"/>
        </w:rPr>
        <w:t xml:space="preserve"> Kuqo</w:t>
      </w:r>
      <w:r w:rsidR="00482D4E" w:rsidRPr="00482D4E">
        <w:rPr>
          <w:color w:val="000000" w:themeColor="text1"/>
          <w:sz w:val="20"/>
          <w:szCs w:val="20"/>
          <w:vertAlign w:val="superscript"/>
        </w:rPr>
        <w:t>1</w:t>
      </w:r>
      <w:r w:rsidR="00482D4E">
        <w:rPr>
          <w:color w:val="000000" w:themeColor="text1"/>
          <w:sz w:val="20"/>
          <w:szCs w:val="20"/>
          <w:vertAlign w:val="superscript"/>
        </w:rPr>
        <w:t xml:space="preserve">,3  </w:t>
      </w:r>
      <w:proofErr w:type="spellStart"/>
      <w:r w:rsidR="00482D4E">
        <w:rPr>
          <w:color w:val="000000" w:themeColor="text1"/>
          <w:sz w:val="20"/>
          <w:szCs w:val="20"/>
        </w:rPr>
        <w:t>Arben</w:t>
      </w:r>
      <w:proofErr w:type="spellEnd"/>
      <w:r w:rsidR="00482D4E">
        <w:rPr>
          <w:color w:val="000000" w:themeColor="text1"/>
          <w:sz w:val="20"/>
          <w:szCs w:val="20"/>
        </w:rPr>
        <w:t xml:space="preserve"> Rroji</w:t>
      </w:r>
      <w:r w:rsidR="00482D4E" w:rsidRPr="00482D4E">
        <w:rPr>
          <w:color w:val="000000" w:themeColor="text1"/>
          <w:sz w:val="20"/>
          <w:szCs w:val="20"/>
          <w:vertAlign w:val="superscript"/>
        </w:rPr>
        <w:t>2</w:t>
      </w:r>
      <w:r w:rsidR="00482D4E" w:rsidRPr="00482D4E">
        <w:rPr>
          <w:color w:val="000000" w:themeColor="text1"/>
          <w:sz w:val="20"/>
          <w:szCs w:val="20"/>
          <w:vertAlign w:val="superscript"/>
        </w:rPr>
        <w:t xml:space="preserve"> </w:t>
      </w:r>
      <w:r w:rsidR="00482D4E">
        <w:rPr>
          <w:color w:val="000000" w:themeColor="text1"/>
          <w:sz w:val="20"/>
          <w:szCs w:val="20"/>
          <w:vertAlign w:val="superscript"/>
        </w:rPr>
        <w:t xml:space="preserve"> </w:t>
      </w:r>
      <w:r w:rsidR="00482D4E">
        <w:rPr>
          <w:color w:val="000000" w:themeColor="text1"/>
          <w:sz w:val="20"/>
          <w:szCs w:val="20"/>
        </w:rPr>
        <w:t>Eugen Enesi</w:t>
      </w:r>
      <w:r w:rsidR="00482D4E">
        <w:rPr>
          <w:color w:val="000000" w:themeColor="text1"/>
          <w:sz w:val="20"/>
          <w:szCs w:val="20"/>
          <w:vertAlign w:val="superscript"/>
        </w:rPr>
        <w:t>2</w:t>
      </w:r>
      <w:r w:rsidR="00482D4E" w:rsidRPr="00482D4E">
        <w:rPr>
          <w:color w:val="000000" w:themeColor="text1"/>
          <w:sz w:val="20"/>
          <w:szCs w:val="20"/>
          <w:vertAlign w:val="superscript"/>
        </w:rPr>
        <w:t xml:space="preserve"> </w:t>
      </w:r>
      <w:r w:rsidR="00482D4E">
        <w:rPr>
          <w:color w:val="000000" w:themeColor="text1"/>
          <w:sz w:val="20"/>
          <w:szCs w:val="20"/>
        </w:rPr>
        <w:t xml:space="preserve"> J</w:t>
      </w:r>
      <w:r w:rsidR="00482D4E" w:rsidRPr="00482D4E">
        <w:rPr>
          <w:color w:val="000000" w:themeColor="text1"/>
          <w:sz w:val="20"/>
          <w:szCs w:val="20"/>
        </w:rPr>
        <w:t>era</w:t>
      </w:r>
      <w:r w:rsidR="00482D4E">
        <w:rPr>
          <w:color w:val="000000" w:themeColor="text1"/>
          <w:sz w:val="20"/>
          <w:szCs w:val="20"/>
        </w:rPr>
        <w:t xml:space="preserve"> Kruja</w:t>
      </w:r>
      <w:r w:rsidR="00482D4E" w:rsidRPr="00482D4E">
        <w:rPr>
          <w:color w:val="000000" w:themeColor="text1"/>
          <w:sz w:val="20"/>
          <w:szCs w:val="20"/>
          <w:vertAlign w:val="superscript"/>
        </w:rPr>
        <w:t>1</w:t>
      </w:r>
      <w:r w:rsidR="00482D4E">
        <w:rPr>
          <w:color w:val="000000" w:themeColor="text1"/>
          <w:sz w:val="20"/>
          <w:szCs w:val="20"/>
          <w:vertAlign w:val="superscript"/>
        </w:rPr>
        <w:t>,3</w:t>
      </w:r>
    </w:p>
    <w:p w14:paraId="1AFE2363" w14:textId="77777777" w:rsidR="00996279" w:rsidRDefault="00996279" w:rsidP="00996279">
      <w:pPr>
        <w:rPr>
          <w:color w:val="000000" w:themeColor="text1"/>
        </w:rPr>
      </w:pPr>
    </w:p>
    <w:p w14:paraId="22A0416B" w14:textId="77777777" w:rsidR="00996279" w:rsidRPr="001D0AB0" w:rsidRDefault="00996279" w:rsidP="00996279">
      <w:pPr>
        <w:autoSpaceDE w:val="0"/>
        <w:autoSpaceDN w:val="0"/>
        <w:adjustRightInd w:val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vertAlign w:val="superscript"/>
        </w:rPr>
        <w:t>1</w:t>
      </w:r>
      <w:r w:rsidRPr="001851B1">
        <w:rPr>
          <w:color w:val="000000" w:themeColor="text1"/>
          <w:sz w:val="20"/>
          <w:szCs w:val="20"/>
        </w:rPr>
        <w:t>Department of Neurology,</w:t>
      </w:r>
      <w:r>
        <w:rPr>
          <w:color w:val="000000" w:themeColor="text1"/>
          <w:sz w:val="20"/>
          <w:szCs w:val="20"/>
        </w:rPr>
        <w:t xml:space="preserve"> </w:t>
      </w:r>
      <w:r w:rsidRPr="001851B1">
        <w:rPr>
          <w:color w:val="000000" w:themeColor="text1"/>
          <w:sz w:val="20"/>
          <w:szCs w:val="20"/>
        </w:rPr>
        <w:t>University Hospital Center “Mother Theresa”, Tirana, Albania</w:t>
      </w:r>
    </w:p>
    <w:p w14:paraId="78FA5F0A" w14:textId="77777777" w:rsidR="00996279" w:rsidRPr="001851B1" w:rsidRDefault="00996279" w:rsidP="00996279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vertAlign w:val="superscript"/>
        </w:rPr>
        <w:t>2</w:t>
      </w:r>
      <w:r w:rsidRPr="001851B1">
        <w:rPr>
          <w:color w:val="000000" w:themeColor="text1"/>
          <w:sz w:val="20"/>
          <w:szCs w:val="20"/>
        </w:rPr>
        <w:t>Department of Neuroradiology,</w:t>
      </w:r>
      <w:r>
        <w:rPr>
          <w:color w:val="000000" w:themeColor="text1"/>
          <w:sz w:val="20"/>
          <w:szCs w:val="20"/>
        </w:rPr>
        <w:t xml:space="preserve"> </w:t>
      </w:r>
      <w:r w:rsidRPr="001851B1">
        <w:rPr>
          <w:color w:val="000000" w:themeColor="text1"/>
          <w:sz w:val="20"/>
          <w:szCs w:val="20"/>
        </w:rPr>
        <w:t>University Hospital Center “Mother Theresa”, Tirana, Albania</w:t>
      </w:r>
    </w:p>
    <w:p w14:paraId="1A8D2FF9" w14:textId="0CEAB33B" w:rsidR="007C2374" w:rsidRPr="007C2374" w:rsidRDefault="007C2374" w:rsidP="007C2374">
      <w:pPr>
        <w:autoSpaceDE w:val="0"/>
        <w:autoSpaceDN w:val="0"/>
        <w:adjustRightInd w:val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vertAlign w:val="superscript"/>
        </w:rPr>
        <w:t>3</w:t>
      </w:r>
      <w:r w:rsidRPr="007C2374">
        <w:rPr>
          <w:color w:val="000000" w:themeColor="text1"/>
          <w:sz w:val="20"/>
          <w:szCs w:val="20"/>
        </w:rPr>
        <w:t xml:space="preserve">Neurology Service, UHC “Mother Teresa” Faculty of Medicine, Albania </w:t>
      </w:r>
    </w:p>
    <w:p w14:paraId="575AAE7B" w14:textId="77777777" w:rsidR="00482D4E" w:rsidRDefault="00482D4E" w:rsidP="00D20A91">
      <w:pPr>
        <w:rPr>
          <w:rFonts w:ascii="Times" w:hAnsi="Times"/>
          <w:b/>
          <w:bCs/>
        </w:rPr>
      </w:pPr>
    </w:p>
    <w:p w14:paraId="13E7117E" w14:textId="68D1E568" w:rsidR="00D20A91" w:rsidRPr="00633CD0" w:rsidRDefault="00D20A91" w:rsidP="00D20A91">
      <w:pPr>
        <w:rPr>
          <w:rFonts w:ascii="Times" w:hAnsi="Times"/>
          <w:b/>
          <w:bCs/>
        </w:rPr>
      </w:pPr>
      <w:r w:rsidRPr="00633CD0">
        <w:rPr>
          <w:rFonts w:ascii="Times" w:hAnsi="Times"/>
          <w:b/>
          <w:bCs/>
        </w:rPr>
        <w:t>Abstract</w:t>
      </w:r>
    </w:p>
    <w:p w14:paraId="2296D32F" w14:textId="77777777" w:rsidR="00D20A91" w:rsidRDefault="00D20A91" w:rsidP="00D20A91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0F3085B3" w14:textId="77777777" w:rsidR="00147CEA" w:rsidRPr="0022581F" w:rsidRDefault="00750FF8" w:rsidP="0022581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750FF8">
        <w:rPr>
          <w:rFonts w:ascii="Times New Roman" w:hAnsi="Times New Roman" w:cs="Times New Roman"/>
          <w:b/>
          <w:bCs/>
          <w:color w:val="000000" w:themeColor="text1"/>
        </w:rPr>
        <w:t>Background: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D20A91" w:rsidRPr="0032436A">
        <w:rPr>
          <w:rFonts w:ascii="Times New Roman" w:hAnsi="Times New Roman" w:cs="Times New Roman"/>
          <w:color w:val="000000" w:themeColor="text1"/>
        </w:rPr>
        <w:t xml:space="preserve">An increasingly large number of articles have emerged last year with evidences regarding various neurological complications of the novel severe acute respiratory syndrome coronavirus 2 (SARS-CoV-2) infection emerging during the pandemic of COVID-19. </w:t>
      </w:r>
      <w:r w:rsidR="00147CEA" w:rsidRPr="00147CEA">
        <w:rPr>
          <w:rFonts w:ascii="Times New Roman" w:hAnsi="Times New Roman" w:cs="Times New Roman"/>
          <w:color w:val="000000" w:themeColor="text1"/>
        </w:rPr>
        <w:t xml:space="preserve">Acute transverse myelitis(ATM) or long extensive transverse myelitis (LETM) were found to be associated with COVID-19 along </w:t>
      </w:r>
      <w:r w:rsidR="00147CEA">
        <w:rPr>
          <w:rFonts w:ascii="Times New Roman" w:hAnsi="Times New Roman" w:cs="Times New Roman"/>
          <w:color w:val="000000" w:themeColor="text1"/>
        </w:rPr>
        <w:t xml:space="preserve">with other neurologic complications like </w:t>
      </w:r>
      <w:r w:rsidR="00D20A91" w:rsidRPr="00D20A91">
        <w:rPr>
          <w:rFonts w:ascii="Times New Roman" w:hAnsi="Times New Roman" w:cs="Times New Roman"/>
          <w:color w:val="000000" w:themeColor="text1"/>
        </w:rPr>
        <w:t>confusion</w:t>
      </w:r>
      <w:r w:rsidR="00ED0BD4">
        <w:rPr>
          <w:rFonts w:ascii="Times New Roman" w:hAnsi="Times New Roman" w:cs="Times New Roman"/>
          <w:color w:val="000000" w:themeColor="text1"/>
        </w:rPr>
        <w:t>,</w:t>
      </w:r>
      <w:r w:rsidR="00D20A91" w:rsidRPr="00D20A91">
        <w:rPr>
          <w:rFonts w:ascii="Times New Roman" w:hAnsi="Times New Roman" w:cs="Times New Roman"/>
          <w:color w:val="000000" w:themeColor="text1"/>
        </w:rPr>
        <w:t xml:space="preserve"> delirium, headache, ageusia, anosmia, stroke</w:t>
      </w:r>
      <w:r w:rsidR="00182CA2">
        <w:rPr>
          <w:rFonts w:ascii="Times New Roman" w:hAnsi="Times New Roman" w:cs="Times New Roman"/>
          <w:color w:val="000000" w:themeColor="text1"/>
        </w:rPr>
        <w:t xml:space="preserve">, and </w:t>
      </w:r>
      <w:r w:rsidR="00D20A91" w:rsidRPr="00D20A91">
        <w:rPr>
          <w:rFonts w:ascii="Times New Roman" w:hAnsi="Times New Roman" w:cs="Times New Roman"/>
          <w:color w:val="000000" w:themeColor="text1"/>
        </w:rPr>
        <w:t xml:space="preserve">in rare cases seizures and epilepsy.  </w:t>
      </w:r>
      <w:r w:rsidR="00182CA2" w:rsidRPr="00147CEA">
        <w:rPr>
          <w:rFonts w:ascii="Times New Roman" w:hAnsi="Times New Roman" w:cs="Times New Roman"/>
          <w:color w:val="000000" w:themeColor="text1"/>
        </w:rPr>
        <w:t>Transverse Myelitis is a spinal autoimmune condition triggered by</w:t>
      </w:r>
      <w:r w:rsidR="00EE2F6D">
        <w:rPr>
          <w:rFonts w:ascii="Times New Roman" w:hAnsi="Times New Roman" w:cs="Times New Roman"/>
          <w:color w:val="000000" w:themeColor="text1"/>
        </w:rPr>
        <w:t xml:space="preserve"> any</w:t>
      </w:r>
      <w:r w:rsidR="00182CA2" w:rsidRPr="00147CEA">
        <w:rPr>
          <w:rFonts w:ascii="Times New Roman" w:hAnsi="Times New Roman" w:cs="Times New Roman"/>
          <w:color w:val="000000" w:themeColor="text1"/>
        </w:rPr>
        <w:t xml:space="preserve"> virus.</w:t>
      </w:r>
      <w:r w:rsidR="0022581F">
        <w:rPr>
          <w:rFonts w:ascii="Times New Roman" w:hAnsi="Times New Roman" w:cs="Times New Roman"/>
          <w:color w:val="000000" w:themeColor="text1"/>
        </w:rPr>
        <w:t xml:space="preserve"> </w:t>
      </w:r>
      <w:r w:rsidR="0022581F" w:rsidRPr="0022581F">
        <w:rPr>
          <w:rFonts w:ascii="Times New Roman" w:hAnsi="Times New Roman" w:cs="Times New Roman"/>
          <w:color w:val="000000" w:themeColor="text1"/>
        </w:rPr>
        <w:t>It is reported in the literature that an immune</w:t>
      </w:r>
      <w:r w:rsidR="00EE2F6D">
        <w:rPr>
          <w:rFonts w:ascii="Times New Roman" w:hAnsi="Times New Roman" w:cs="Times New Roman"/>
          <w:color w:val="000000" w:themeColor="text1"/>
        </w:rPr>
        <w:t>-</w:t>
      </w:r>
      <w:r w:rsidR="0022581F" w:rsidRPr="0022581F">
        <w:rPr>
          <w:rFonts w:ascii="Times New Roman" w:hAnsi="Times New Roman" w:cs="Times New Roman"/>
          <w:color w:val="000000" w:themeColor="text1"/>
        </w:rPr>
        <w:t xml:space="preserve">mediated inflammatory process is the main pathophysiological mechanism of  action in the case of ATM rather than the direct invasion of </w:t>
      </w:r>
      <w:r w:rsidR="00986116">
        <w:rPr>
          <w:rFonts w:ascii="Times New Roman" w:hAnsi="Times New Roman" w:cs="Times New Roman"/>
          <w:color w:val="000000" w:themeColor="text1"/>
        </w:rPr>
        <w:t xml:space="preserve">CNS from </w:t>
      </w:r>
      <w:r w:rsidR="00986116" w:rsidRPr="0032436A">
        <w:rPr>
          <w:rFonts w:ascii="Times New Roman" w:hAnsi="Times New Roman" w:cs="Times New Roman"/>
          <w:color w:val="000000" w:themeColor="text1"/>
        </w:rPr>
        <w:t>SARS-CoV-2</w:t>
      </w:r>
      <w:r w:rsidR="00986116">
        <w:rPr>
          <w:rFonts w:ascii="Times New Roman" w:hAnsi="Times New Roman" w:cs="Times New Roman"/>
          <w:color w:val="000000" w:themeColor="text1"/>
        </w:rPr>
        <w:t>.</w:t>
      </w:r>
    </w:p>
    <w:p w14:paraId="5385CC6A" w14:textId="77777777" w:rsidR="00F27A5C" w:rsidRDefault="00F27A5C" w:rsidP="00147CEA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4EFFD4AD" w14:textId="77777777" w:rsidR="00ED0BD4" w:rsidRDefault="00ED0BD4" w:rsidP="00ED0BD4">
      <w:pPr>
        <w:rPr>
          <w:rFonts w:ascii="Times New Roman" w:hAnsi="Times New Roman" w:cs="Times New Roman"/>
        </w:rPr>
      </w:pPr>
      <w:r w:rsidRPr="0022581F">
        <w:rPr>
          <w:rFonts w:ascii="Times New Roman" w:hAnsi="Times New Roman" w:cs="Times New Roman"/>
          <w:b/>
          <w:bCs/>
          <w:color w:val="000000" w:themeColor="text1"/>
        </w:rPr>
        <w:t>Case presentations: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147CEA" w:rsidRPr="00147CEA">
        <w:rPr>
          <w:rFonts w:ascii="Times New Roman" w:hAnsi="Times New Roman" w:cs="Times New Roman"/>
          <w:color w:val="000000" w:themeColor="text1"/>
        </w:rPr>
        <w:t xml:space="preserve">We </w:t>
      </w:r>
      <w:r w:rsidR="0022581F">
        <w:rPr>
          <w:rFonts w:ascii="Times New Roman" w:hAnsi="Times New Roman" w:cs="Times New Roman"/>
          <w:color w:val="000000" w:themeColor="text1"/>
        </w:rPr>
        <w:t xml:space="preserve">present </w:t>
      </w:r>
      <w:r w:rsidR="00182CA2">
        <w:rPr>
          <w:rFonts w:ascii="Times New Roman" w:hAnsi="Times New Roman" w:cs="Times New Roman"/>
          <w:color w:val="000000" w:themeColor="text1"/>
        </w:rPr>
        <w:t>two</w:t>
      </w:r>
      <w:r w:rsidR="00147CEA" w:rsidRPr="00147CEA">
        <w:rPr>
          <w:rFonts w:ascii="Times New Roman" w:hAnsi="Times New Roman" w:cs="Times New Roman"/>
          <w:color w:val="000000" w:themeColor="text1"/>
        </w:rPr>
        <w:t xml:space="preserve"> </w:t>
      </w:r>
      <w:r w:rsidR="00182CA2">
        <w:rPr>
          <w:rFonts w:ascii="Times New Roman" w:hAnsi="Times New Roman" w:cs="Times New Roman"/>
          <w:color w:val="000000" w:themeColor="text1"/>
        </w:rPr>
        <w:t xml:space="preserve">cases </w:t>
      </w:r>
      <w:r w:rsidR="00147CEA" w:rsidRPr="00147CEA">
        <w:rPr>
          <w:rFonts w:ascii="Times New Roman" w:hAnsi="Times New Roman" w:cs="Times New Roman"/>
          <w:color w:val="000000" w:themeColor="text1"/>
        </w:rPr>
        <w:t xml:space="preserve">with </w:t>
      </w:r>
      <w:r>
        <w:rPr>
          <w:rFonts w:ascii="Times New Roman" w:hAnsi="Times New Roman" w:cs="Times New Roman"/>
          <w:color w:val="000000" w:themeColor="text1"/>
        </w:rPr>
        <w:t xml:space="preserve">acute paraplegia and subacute paraparesis with </w:t>
      </w:r>
      <w:r w:rsidR="0022581F">
        <w:rPr>
          <w:rFonts w:ascii="Times New Roman" w:hAnsi="Times New Roman" w:cs="Times New Roman"/>
          <w:color w:val="000000" w:themeColor="text1"/>
        </w:rPr>
        <w:t xml:space="preserve">LETM as </w:t>
      </w:r>
      <w:r w:rsidR="0022581F" w:rsidRPr="00147CEA">
        <w:rPr>
          <w:rFonts w:ascii="Times New Roman" w:hAnsi="Times New Roman" w:cs="Times New Roman"/>
          <w:color w:val="000000" w:themeColor="text1"/>
        </w:rPr>
        <w:t>post infectious myelitis</w:t>
      </w:r>
      <w:r w:rsidR="0022581F">
        <w:rPr>
          <w:rFonts w:ascii="Times New Roman" w:hAnsi="Times New Roman" w:cs="Times New Roman"/>
          <w:color w:val="000000" w:themeColor="text1"/>
        </w:rPr>
        <w:t xml:space="preserve"> in the context of recent COVID-19 infection</w:t>
      </w:r>
      <w:r>
        <w:rPr>
          <w:rFonts w:ascii="Times New Roman" w:hAnsi="Times New Roman" w:cs="Times New Roman"/>
          <w:color w:val="000000" w:themeColor="text1"/>
        </w:rPr>
        <w:t xml:space="preserve">. One patient developed </w:t>
      </w:r>
      <w:r w:rsidR="00986116">
        <w:rPr>
          <w:rFonts w:ascii="Times New Roman" w:hAnsi="Times New Roman" w:cs="Times New Roman"/>
          <w:color w:val="000000" w:themeColor="text1"/>
        </w:rPr>
        <w:t>the evident clinical aspect of acute spastic paraplegia with urinary reten</w:t>
      </w:r>
      <w:r w:rsidR="00521A46">
        <w:rPr>
          <w:rFonts w:ascii="Times New Roman" w:hAnsi="Times New Roman" w:cs="Times New Roman"/>
          <w:color w:val="000000" w:themeColor="text1"/>
        </w:rPr>
        <w:t>ti</w:t>
      </w:r>
      <w:r w:rsidR="00986116">
        <w:rPr>
          <w:rFonts w:ascii="Times New Roman" w:hAnsi="Times New Roman" w:cs="Times New Roman"/>
          <w:color w:val="000000" w:themeColor="text1"/>
        </w:rPr>
        <w:t xml:space="preserve">on and </w:t>
      </w:r>
      <w:r w:rsidR="00521A46">
        <w:rPr>
          <w:rFonts w:ascii="Times New Roman" w:hAnsi="Times New Roman" w:cs="Times New Roman"/>
          <w:color w:val="000000" w:themeColor="text1"/>
        </w:rPr>
        <w:t xml:space="preserve">altered proprioception </w:t>
      </w:r>
      <w:r w:rsidR="00986116">
        <w:rPr>
          <w:rFonts w:ascii="Times New Roman" w:hAnsi="Times New Roman" w:cs="Times New Roman"/>
          <w:color w:val="000000" w:themeColor="text1"/>
        </w:rPr>
        <w:t xml:space="preserve">as a pre-infection </w:t>
      </w:r>
      <w:r w:rsidR="00521A46">
        <w:rPr>
          <w:rFonts w:ascii="Times New Roman" w:hAnsi="Times New Roman" w:cs="Times New Roman"/>
          <w:color w:val="000000" w:themeColor="text1"/>
        </w:rPr>
        <w:t>phase without any evident lesion in total spine MRI at the time o</w:t>
      </w:r>
      <w:r w:rsidR="00AE3305">
        <w:rPr>
          <w:rFonts w:ascii="Times New Roman" w:hAnsi="Times New Roman" w:cs="Times New Roman"/>
          <w:color w:val="000000" w:themeColor="text1"/>
        </w:rPr>
        <w:t>f</w:t>
      </w:r>
      <w:r w:rsidR="00521A46">
        <w:rPr>
          <w:rFonts w:ascii="Times New Roman" w:hAnsi="Times New Roman" w:cs="Times New Roman"/>
          <w:color w:val="000000" w:themeColor="text1"/>
        </w:rPr>
        <w:t xml:space="preserve"> the deficit. </w:t>
      </w:r>
      <w:r>
        <w:rPr>
          <w:rFonts w:ascii="Times New Roman" w:hAnsi="Times New Roman" w:cs="Times New Roman"/>
          <w:color w:val="000000" w:themeColor="text1"/>
        </w:rPr>
        <w:t xml:space="preserve">LETM </w:t>
      </w:r>
      <w:r w:rsidR="00521A46">
        <w:rPr>
          <w:rFonts w:ascii="Times New Roman" w:hAnsi="Times New Roman" w:cs="Times New Roman"/>
          <w:color w:val="000000" w:themeColor="text1"/>
        </w:rPr>
        <w:t xml:space="preserve">followed the clinical aspect and it </w:t>
      </w:r>
      <w:r>
        <w:rPr>
          <w:rFonts w:ascii="Times New Roman" w:hAnsi="Times New Roman" w:cs="Times New Roman"/>
          <w:color w:val="000000" w:themeColor="text1"/>
        </w:rPr>
        <w:t xml:space="preserve">was evidenced </w:t>
      </w:r>
      <w:r w:rsidR="00521A46">
        <w:rPr>
          <w:rFonts w:ascii="Times New Roman" w:hAnsi="Times New Roman" w:cs="Times New Roman"/>
          <w:color w:val="000000" w:themeColor="text1"/>
        </w:rPr>
        <w:t xml:space="preserve">in the spine MRI </w:t>
      </w:r>
      <w:r>
        <w:rPr>
          <w:rFonts w:ascii="Times New Roman" w:hAnsi="Times New Roman" w:cs="Times New Roman"/>
          <w:color w:val="000000" w:themeColor="text1"/>
        </w:rPr>
        <w:t>6 weeks post-COVID</w:t>
      </w:r>
      <w:r w:rsidR="002539D8">
        <w:rPr>
          <w:rFonts w:ascii="Times New Roman" w:hAnsi="Times New Roman" w:cs="Times New Roman"/>
          <w:color w:val="000000" w:themeColor="text1"/>
        </w:rPr>
        <w:t xml:space="preserve">-19 </w:t>
      </w:r>
      <w:r>
        <w:rPr>
          <w:rFonts w:ascii="Times New Roman" w:hAnsi="Times New Roman" w:cs="Times New Roman"/>
          <w:color w:val="000000" w:themeColor="text1"/>
        </w:rPr>
        <w:t>infection</w:t>
      </w:r>
      <w:r w:rsidR="00521A46">
        <w:rPr>
          <w:rFonts w:ascii="Times New Roman" w:hAnsi="Times New Roman" w:cs="Times New Roman"/>
          <w:color w:val="000000" w:themeColor="text1"/>
        </w:rPr>
        <w:t xml:space="preserve">. The </w:t>
      </w:r>
      <w:r>
        <w:rPr>
          <w:rFonts w:ascii="Times New Roman" w:hAnsi="Times New Roman" w:cs="Times New Roman"/>
          <w:color w:val="000000" w:themeColor="text1"/>
        </w:rPr>
        <w:t>other patient had an</w:t>
      </w:r>
      <w:r w:rsidR="00147CEA">
        <w:rPr>
          <w:rFonts w:ascii="Times New Roman" w:hAnsi="Times New Roman" w:cs="Times New Roman"/>
          <w:color w:val="000000" w:themeColor="text1"/>
        </w:rPr>
        <w:t xml:space="preserve"> </w:t>
      </w:r>
      <w:r w:rsidR="00AF03D7" w:rsidRPr="00147CEA">
        <w:rPr>
          <w:rFonts w:ascii="Times New Roman" w:hAnsi="Times New Roman" w:cs="Times New Roman"/>
          <w:color w:val="FF0000"/>
        </w:rPr>
        <w:t xml:space="preserve"> </w:t>
      </w:r>
      <w:r w:rsidR="00AF03D7" w:rsidRPr="00A25175">
        <w:rPr>
          <w:rFonts w:ascii="Times New Roman" w:hAnsi="Times New Roman" w:cs="Times New Roman"/>
          <w:color w:val="000000" w:themeColor="text1"/>
        </w:rPr>
        <w:t xml:space="preserve">interval of 15 days between time of COVID-19 symptoms and time of neurological symptoms onset </w:t>
      </w:r>
      <w:r w:rsidR="00521A46">
        <w:rPr>
          <w:rFonts w:ascii="Times New Roman" w:hAnsi="Times New Roman" w:cs="Times New Roman"/>
          <w:color w:val="000000" w:themeColor="text1"/>
        </w:rPr>
        <w:t xml:space="preserve">along with MRI spine lesions </w:t>
      </w:r>
      <w:r w:rsidR="00147CEA" w:rsidRPr="00A25175">
        <w:rPr>
          <w:rFonts w:ascii="Times New Roman" w:hAnsi="Times New Roman" w:cs="Times New Roman"/>
          <w:color w:val="000000" w:themeColor="text1"/>
        </w:rPr>
        <w:t xml:space="preserve">which supports the </w:t>
      </w:r>
      <w:r w:rsidR="00AF03D7" w:rsidRPr="00A25175">
        <w:rPr>
          <w:rFonts w:ascii="Times New Roman" w:hAnsi="Times New Roman" w:cs="Times New Roman"/>
          <w:color w:val="000000" w:themeColor="text1"/>
        </w:rPr>
        <w:t>post-infectious neurological complication</w:t>
      </w:r>
      <w:r w:rsidRPr="00A25175">
        <w:rPr>
          <w:rFonts w:ascii="Times New Roman" w:hAnsi="Times New Roman" w:cs="Times New Roman"/>
          <w:color w:val="000000" w:themeColor="text1"/>
        </w:rPr>
        <w:t>. It is important to consider SARS-CoV-2 infection a potential trigger of post infectious myelitis, in cases prese</w:t>
      </w:r>
      <w:r w:rsidRPr="000452B0">
        <w:rPr>
          <w:rFonts w:ascii="Times New Roman" w:hAnsi="Times New Roman" w:cs="Times New Roman"/>
        </w:rPr>
        <w:t xml:space="preserve">nted with </w:t>
      </w:r>
      <w:r>
        <w:rPr>
          <w:rFonts w:ascii="Times New Roman" w:hAnsi="Times New Roman" w:cs="Times New Roman"/>
        </w:rPr>
        <w:t xml:space="preserve">spastic paraplegia </w:t>
      </w:r>
      <w:r w:rsidR="002539D8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 xml:space="preserve"> urinary reten</w:t>
      </w:r>
      <w:r w:rsidR="00521A4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ion</w:t>
      </w:r>
      <w:r w:rsidR="00521A46">
        <w:rPr>
          <w:rFonts w:ascii="Times New Roman" w:hAnsi="Times New Roman" w:cs="Times New Roman"/>
        </w:rPr>
        <w:t xml:space="preserve"> </w:t>
      </w:r>
      <w:r w:rsidR="002539D8">
        <w:rPr>
          <w:rFonts w:ascii="Times New Roman" w:hAnsi="Times New Roman" w:cs="Times New Roman"/>
        </w:rPr>
        <w:t xml:space="preserve">and positive testing of COVID-19, </w:t>
      </w:r>
      <w:r w:rsidR="00521A46">
        <w:rPr>
          <w:rFonts w:ascii="Times New Roman" w:hAnsi="Times New Roman" w:cs="Times New Roman"/>
        </w:rPr>
        <w:t xml:space="preserve">when other viral/autoimmune etiological </w:t>
      </w:r>
      <w:r w:rsidR="002539D8">
        <w:rPr>
          <w:rFonts w:ascii="Times New Roman" w:hAnsi="Times New Roman" w:cs="Times New Roman"/>
        </w:rPr>
        <w:t xml:space="preserve">factors </w:t>
      </w:r>
      <w:r w:rsidR="00521A46">
        <w:rPr>
          <w:rFonts w:ascii="Times New Roman" w:hAnsi="Times New Roman" w:cs="Times New Roman"/>
        </w:rPr>
        <w:t>are ruled out</w:t>
      </w:r>
      <w:r w:rsidRPr="000452B0">
        <w:rPr>
          <w:rFonts w:ascii="Times New Roman" w:hAnsi="Times New Roman" w:cs="Times New Roman"/>
        </w:rPr>
        <w:t xml:space="preserve">. </w:t>
      </w:r>
    </w:p>
    <w:p w14:paraId="478EC657" w14:textId="77777777" w:rsidR="00F27A5C" w:rsidRDefault="00F27A5C" w:rsidP="00ED0BD4">
      <w:pPr>
        <w:rPr>
          <w:rFonts w:ascii="Times New Roman" w:hAnsi="Times New Roman" w:cs="Times New Roman"/>
        </w:rPr>
      </w:pPr>
    </w:p>
    <w:p w14:paraId="4B5BDB1C" w14:textId="77777777" w:rsidR="00ED0BD4" w:rsidRPr="002202AA" w:rsidRDefault="00ED0BD4" w:rsidP="00ED0BD4">
      <w:pPr>
        <w:rPr>
          <w:rFonts w:ascii="Times New Roman" w:hAnsi="Times New Roman" w:cs="Times New Roman"/>
        </w:rPr>
      </w:pPr>
      <w:r w:rsidRPr="00ED0BD4">
        <w:rPr>
          <w:rFonts w:ascii="Times New Roman" w:hAnsi="Times New Roman" w:cs="Times New Roman"/>
          <w:b/>
          <w:bCs/>
          <w:color w:val="000000" w:themeColor="text1"/>
        </w:rPr>
        <w:t xml:space="preserve">Conclusion: </w:t>
      </w:r>
      <w:r w:rsidRPr="00ED0BD4">
        <w:rPr>
          <w:rFonts w:ascii="Times New Roman" w:hAnsi="Times New Roman" w:cs="Times New Roman"/>
          <w:color w:val="000000" w:themeColor="text1"/>
        </w:rPr>
        <w:t>A</w:t>
      </w:r>
      <w:r w:rsidRPr="002202AA">
        <w:rPr>
          <w:rFonts w:ascii="Times New Roman" w:hAnsi="Times New Roman" w:cs="Times New Roman"/>
        </w:rPr>
        <w:t xml:space="preserve"> high clinical suspicion  will prompt  to immediate management of these patients </w:t>
      </w:r>
      <w:r>
        <w:rPr>
          <w:rFonts w:ascii="Times New Roman" w:hAnsi="Times New Roman" w:cs="Times New Roman"/>
        </w:rPr>
        <w:t xml:space="preserve">with high dose corticosteroids </w:t>
      </w:r>
      <w:r w:rsidRPr="002202AA">
        <w:rPr>
          <w:rFonts w:ascii="Times New Roman" w:hAnsi="Times New Roman" w:cs="Times New Roman"/>
        </w:rPr>
        <w:t xml:space="preserve">who will benefit from therapeutic management and hospitalization. </w:t>
      </w:r>
    </w:p>
    <w:p w14:paraId="1DF1A368" w14:textId="77777777" w:rsidR="00ED0BD4" w:rsidRPr="00147CEA" w:rsidRDefault="00ED0BD4" w:rsidP="00ED0BD4">
      <w:pPr>
        <w:rPr>
          <w:rFonts w:ascii="Times New Roman" w:hAnsi="Times New Roman" w:cs="Times New Roman"/>
          <w:color w:val="FF0000"/>
        </w:rPr>
      </w:pPr>
    </w:p>
    <w:p w14:paraId="2732A5C5" w14:textId="77777777" w:rsidR="00482D4E" w:rsidRDefault="00482D4E" w:rsidP="00482D4E">
      <w:pPr>
        <w:rPr>
          <w:color w:val="000000" w:themeColor="text1"/>
          <w:sz w:val="20"/>
          <w:szCs w:val="20"/>
        </w:rPr>
      </w:pPr>
    </w:p>
    <w:p w14:paraId="11A18C38" w14:textId="7D8D0CD8" w:rsidR="00482D4E" w:rsidRPr="00482D4E" w:rsidRDefault="00482D4E" w:rsidP="00482D4E">
      <w:pPr>
        <w:rPr>
          <w:color w:val="000000" w:themeColor="text1"/>
          <w:sz w:val="20"/>
          <w:szCs w:val="20"/>
        </w:rPr>
      </w:pPr>
      <w:r w:rsidRPr="00482D4E">
        <w:rPr>
          <w:color w:val="000000" w:themeColor="text1"/>
          <w:sz w:val="20"/>
          <w:szCs w:val="20"/>
        </w:rPr>
        <w:t>Contact info: rekaeni@gmail.com</w:t>
      </w:r>
    </w:p>
    <w:p w14:paraId="5A168547" w14:textId="77777777" w:rsidR="00ED0BD4" w:rsidRPr="00147CEA" w:rsidRDefault="00ED0BD4" w:rsidP="00750FF8">
      <w:pPr>
        <w:rPr>
          <w:rFonts w:ascii="Times New Roman" w:hAnsi="Times New Roman" w:cs="Times New Roman"/>
          <w:color w:val="FF0000"/>
        </w:rPr>
      </w:pPr>
    </w:p>
    <w:sectPr w:rsidR="00ED0BD4" w:rsidRPr="00147CEA" w:rsidSect="00305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91"/>
    <w:rsid w:val="00042F2A"/>
    <w:rsid w:val="00105890"/>
    <w:rsid w:val="00147CEA"/>
    <w:rsid w:val="00182CA2"/>
    <w:rsid w:val="00194E78"/>
    <w:rsid w:val="0022581F"/>
    <w:rsid w:val="002539D8"/>
    <w:rsid w:val="00256761"/>
    <w:rsid w:val="00305AB1"/>
    <w:rsid w:val="00482D4E"/>
    <w:rsid w:val="00521A46"/>
    <w:rsid w:val="005871A6"/>
    <w:rsid w:val="006A1E82"/>
    <w:rsid w:val="00750FF8"/>
    <w:rsid w:val="007C2374"/>
    <w:rsid w:val="007F397A"/>
    <w:rsid w:val="009043A4"/>
    <w:rsid w:val="00986116"/>
    <w:rsid w:val="00996279"/>
    <w:rsid w:val="00A25175"/>
    <w:rsid w:val="00AE3305"/>
    <w:rsid w:val="00AF03D7"/>
    <w:rsid w:val="00D0174F"/>
    <w:rsid w:val="00D20A91"/>
    <w:rsid w:val="00ED0BD4"/>
    <w:rsid w:val="00EE2F6D"/>
    <w:rsid w:val="00F27A5C"/>
    <w:rsid w:val="00F30777"/>
    <w:rsid w:val="00F5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04A79"/>
  <w15:chartTrackingRefBased/>
  <w15:docId w15:val="{6B56A336-A4B4-4043-BCEC-FA6CA597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03D7"/>
    <w:pPr>
      <w:autoSpaceDE w:val="0"/>
      <w:autoSpaceDN w:val="0"/>
      <w:adjustRightInd w:val="0"/>
    </w:pPr>
    <w:rPr>
      <w:rFonts w:ascii="Charis SIL" w:hAnsi="Charis SIL" w:cs="Charis SI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2021-09-22T19:21:00Z</dcterms:created>
  <dcterms:modified xsi:type="dcterms:W3CDTF">2021-09-22T19:28:00Z</dcterms:modified>
</cp:coreProperties>
</file>