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467" w:rsidRDefault="00535467" w:rsidP="00535467">
      <w:pPr>
        <w:widowControl/>
        <w:spacing w:after="200" w:line="276" w:lineRule="auto"/>
        <w:jc w:val="center"/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zh-CN"/>
        </w:rPr>
      </w:pPr>
      <w:r w:rsidRPr="00535467"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fr-FR"/>
        </w:rPr>
        <w:t xml:space="preserve">Bioequivalence of </w:t>
      </w:r>
      <w:proofErr w:type="spellStart"/>
      <w:r w:rsidRPr="00535467"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fr-FR"/>
        </w:rPr>
        <w:t>Sarpogrelate</w:t>
      </w:r>
      <w:proofErr w:type="spellEnd"/>
      <w:r w:rsidRPr="00535467"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fr-FR"/>
        </w:rPr>
        <w:t xml:space="preserve"> 100-mg Tablets in Healthy Chinese Subjects </w:t>
      </w:r>
    </w:p>
    <w:p w:rsidR="00535467" w:rsidRPr="00535467" w:rsidRDefault="00535467" w:rsidP="00535467">
      <w:pPr>
        <w:widowControl/>
        <w:spacing w:after="200" w:line="276" w:lineRule="auto"/>
        <w:jc w:val="center"/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fr-FR"/>
        </w:rPr>
      </w:pPr>
      <w:r w:rsidRPr="00535467">
        <w:rPr>
          <w:rFonts w:ascii="Times New Roman" w:eastAsia="宋体" w:hAnsi="Times New Roman" w:cs="Times New Roman"/>
          <w:b/>
          <w:bCs/>
          <w:color w:val="548DD4" w:themeColor="text2" w:themeTint="99"/>
          <w:sz w:val="26"/>
          <w:szCs w:val="26"/>
          <w:lang w:eastAsia="fr-FR"/>
        </w:rPr>
        <w:t>Under Fasted and Fed Conditions: A Four-Way Replicate Crossover Study by a Reference-Scaled Average Bioequivalence Approach</w:t>
      </w:r>
    </w:p>
    <w:p w:rsidR="00535467" w:rsidRPr="00535467" w:rsidRDefault="00535467" w:rsidP="00535467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 w:rsidRPr="00A4198B">
        <w:rPr>
          <w:rFonts w:ascii="Times New Roman" w:hAnsi="Times New Roman" w:hint="eastAsia"/>
          <w:bCs/>
          <w:lang w:eastAsia="zh-CN"/>
        </w:rPr>
        <w:t>Cuiyun</w:t>
      </w:r>
      <w:proofErr w:type="spellEnd"/>
      <w:r w:rsidRPr="00A4198B">
        <w:rPr>
          <w:rFonts w:ascii="Times New Roman" w:hAnsi="Times New Roman" w:hint="eastAsia"/>
          <w:bCs/>
          <w:lang w:eastAsia="zh-CN"/>
        </w:rPr>
        <w:t xml:space="preserve"> Li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Master</w:t>
      </w:r>
      <w:r w:rsidR="005973B9">
        <w:rPr>
          <w:rFonts w:ascii="Arial"/>
        </w:rPr>
        <w:t xml:space="preserve">, </w:t>
      </w:r>
      <w:proofErr w:type="gramStart"/>
      <w:r w:rsidRPr="00535467">
        <w:rPr>
          <w:rFonts w:ascii="Arial"/>
        </w:rPr>
        <w:t>The</w:t>
      </w:r>
      <w:proofErr w:type="gramEnd"/>
      <w:r w:rsidRPr="00535467">
        <w:rPr>
          <w:rFonts w:ascii="Arial"/>
        </w:rPr>
        <w:t xml:space="preserve"> First Hospital of Jilin University, China </w:t>
      </w:r>
      <w:r>
        <w:rPr>
          <w:rFonts w:ascii="Arial"/>
        </w:rPr>
        <w:t>Changchun</w:t>
      </w:r>
      <w:r>
        <w:rPr>
          <w:rFonts w:ascii="Arial" w:eastAsiaTheme="minorEastAsia" w:hint="eastAsia"/>
          <w:lang w:eastAsia="zh-CN"/>
        </w:rPr>
        <w:t>;</w:t>
      </w:r>
    </w:p>
    <w:p w:rsidR="00AE3E37" w:rsidRPr="00535467" w:rsidRDefault="00535467" w:rsidP="00535467">
      <w:pPr>
        <w:pStyle w:val="a3"/>
        <w:spacing w:before="73" w:line="198" w:lineRule="exact"/>
        <w:ind w:left="100" w:right="5987"/>
        <w:rPr>
          <w:rFonts w:ascii="Arial" w:eastAsiaTheme="minorEastAsia"/>
          <w:sz w:val="20"/>
          <w:lang w:eastAsia="zh-CN"/>
        </w:rPr>
      </w:pPr>
      <w:proofErr w:type="spellStart"/>
      <w:r w:rsidRPr="00A4198B">
        <w:rPr>
          <w:rFonts w:ascii="Times New Roman" w:hAnsi="Times New Roman" w:hint="eastAsia"/>
          <w:bCs/>
          <w:lang w:eastAsia="zh-CN"/>
        </w:rPr>
        <w:t>Yanhua</w:t>
      </w:r>
      <w:proofErr w:type="spellEnd"/>
      <w:r w:rsidRPr="00A4198B">
        <w:rPr>
          <w:rFonts w:ascii="Times New Roman" w:hAnsi="Times New Roman" w:hint="eastAsia"/>
          <w:bCs/>
          <w:lang w:eastAsia="zh-CN"/>
        </w:rPr>
        <w:t xml:space="preserve"> Ding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M</w:t>
      </w:r>
      <w:r w:rsidR="005973B9">
        <w:rPr>
          <w:rFonts w:ascii="Arial"/>
        </w:rPr>
        <w:t xml:space="preserve">D, </w:t>
      </w:r>
      <w:proofErr w:type="gramStart"/>
      <w:r w:rsidRPr="00535467">
        <w:rPr>
          <w:rFonts w:ascii="Arial"/>
        </w:rPr>
        <w:t>The</w:t>
      </w:r>
      <w:proofErr w:type="gramEnd"/>
      <w:r w:rsidRPr="00535467">
        <w:rPr>
          <w:rFonts w:ascii="Arial"/>
        </w:rPr>
        <w:t xml:space="preserve"> First Hospital of Jilin University, China </w:t>
      </w:r>
      <w:r>
        <w:rPr>
          <w:rFonts w:ascii="Arial"/>
        </w:rPr>
        <w:t>Changchun</w:t>
      </w:r>
      <w:r>
        <w:rPr>
          <w:rFonts w:ascii="Arial" w:eastAsiaTheme="minorEastAsia" w:hint="eastAsia"/>
          <w:lang w:eastAsia="zh-CN"/>
        </w:rPr>
        <w:t>.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35467" w:rsidRPr="00535467" w:rsidRDefault="00535467" w:rsidP="00535467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purpose of this study was to evaluate the bioequivalence (BE) of two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sarpogrelate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formulations (100-mg tablets) by the reference-scaled average bioequivalence (RSABE) approach, and to investigate the pharmacokinetic (PK) properties of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sarpogrelate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Chinese healthy subjects. </w:t>
      </w:r>
    </w:p>
    <w:p w:rsidR="00535467" w:rsidRPr="00535467" w:rsidRDefault="00535467" w:rsidP="00535467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single-dose, open, randomized, four-way replicate study with a 3-day washout period was conducted in healthy Chinese male volunteers under  fasted (n=38) and fed (n=34) conditions. Blood samples were collected over a 6h period (fasted) and 10h period (fed).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Sarpogrelate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concentrations were assayed using a liquid chromatography tandem mass spectrometry (LC-MS/MS) method. A non-compartmental method was used for calculation of PK parameters. E between the formulations in fasted and fed condition was assessed considering 90% confidence intervals (CIs) for the ratio of means for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lnCmax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lnAUC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within the BE limits based on RSABE method. </w:t>
      </w:r>
    </w:p>
    <w:p w:rsidR="00AE3E37" w:rsidRDefault="00535467" w:rsidP="00535467">
      <w:pPr>
        <w:pStyle w:val="3"/>
        <w:spacing w:before="74"/>
      </w:pPr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 showed that the 90% CIs for ratios of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lnCmax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lnAUC0–t and lnAUC0-∞ for fasted study were 0.7322-1.0623, 0.7986-1.0727 and 0.8049-1.0648, respectively. For fed study, these data were 0.8918-1.1076, 0.9818-1.0694 and 0.9818-1.0686, respectively. All of the 90% CIs were within the RSABE acceptance limits. The test and reference formulations of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sarpogrelate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 the regulatory criteria for BE of the Chinese Food and Drug Administration. Food intake decreased the systemic exposure and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Cmax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</w:t>
      </w:r>
      <w:proofErr w:type="spellStart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>sarpogrelate</w:t>
      </w:r>
      <w:proofErr w:type="spellEnd"/>
      <w:r w:rsidRPr="0053546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0.9-fold and 0.5-fold, respectively.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535467">
      <w:pPr>
        <w:pStyle w:val="a3"/>
        <w:spacing w:before="2"/>
        <w:rPr>
          <w:rFonts w:ascii="Arial"/>
          <w:b/>
          <w:sz w:val="16"/>
        </w:rPr>
      </w:pPr>
      <w:r>
        <w:rPr>
          <w:rFonts w:ascii="Times New Roman" w:eastAsia="宋体" w:hAnsi="Times New Roman" w:cs="Times New Roman" w:hint="eastAsia"/>
          <w:b/>
          <w:noProof/>
          <w:sz w:val="24"/>
          <w:szCs w:val="24"/>
          <w:lang w:eastAsia="zh-CN"/>
        </w:rPr>
        <w:drawing>
          <wp:inline distT="0" distB="0" distL="0" distR="0">
            <wp:extent cx="1747764" cy="1155802"/>
            <wp:effectExtent l="0" t="0" r="5080" b="6350"/>
            <wp:docPr id="2" name="图片 2" descr="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F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59" cy="1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noProof/>
          <w:sz w:val="24"/>
          <w:szCs w:val="24"/>
          <w:lang w:eastAsia="zh-CN"/>
        </w:rPr>
        <w:drawing>
          <wp:inline distT="0" distB="0" distL="0" distR="0">
            <wp:extent cx="1616659" cy="1108077"/>
            <wp:effectExtent l="0" t="0" r="3175" b="0"/>
            <wp:docPr id="3" name="图片 3" descr="F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F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817" cy="11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5973B9" w:rsidRDefault="00535467" w:rsidP="005973B9">
      <w:pPr>
        <w:spacing w:line="204" w:lineRule="exact"/>
        <w:rPr>
          <w:rFonts w:ascii="Arial"/>
          <w:b/>
          <w:sz w:val="20"/>
        </w:rPr>
      </w:pPr>
      <w:r w:rsidRPr="00535467">
        <w:rPr>
          <w:rFonts w:ascii="Times New Roman" w:hAnsi="Times New Roman" w:cs="Times New Roman"/>
          <w:b/>
          <w:sz w:val="13"/>
          <w:szCs w:val="13"/>
        </w:rPr>
        <w:t xml:space="preserve">Mean plasma </w:t>
      </w:r>
      <w:proofErr w:type="spellStart"/>
      <w:r w:rsidRPr="00535467">
        <w:rPr>
          <w:rFonts w:ascii="Times New Roman" w:hAnsi="Times New Roman" w:cs="Times New Roman" w:hint="eastAsia"/>
          <w:b/>
          <w:sz w:val="13"/>
          <w:szCs w:val="13"/>
        </w:rPr>
        <w:t>sarpogrelate</w:t>
      </w:r>
      <w:proofErr w:type="spellEnd"/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 xml:space="preserve"> </w:t>
      </w:r>
      <w:r w:rsidRPr="00535467">
        <w:rPr>
          <w:rFonts w:ascii="Times New Roman" w:hAnsi="Times New Roman" w:cs="Times New Roman"/>
          <w:b/>
          <w:sz w:val="13"/>
          <w:szCs w:val="13"/>
        </w:rPr>
        <w:t xml:space="preserve">concentrations obtained after a single </w:t>
      </w:r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>100</w:t>
      </w:r>
      <w:r w:rsidRPr="00535467">
        <w:rPr>
          <w:rFonts w:ascii="Times New Roman" w:hAnsi="Times New Roman" w:cs="Times New Roman"/>
          <w:b/>
          <w:sz w:val="13"/>
          <w:szCs w:val="13"/>
        </w:rPr>
        <w:t xml:space="preserve">-mg dose administration of the </w:t>
      </w:r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>T</w:t>
      </w:r>
      <w:r w:rsidRPr="00535467">
        <w:rPr>
          <w:rFonts w:ascii="Times New Roman" w:hAnsi="Times New Roman" w:cs="Times New Roman"/>
          <w:b/>
          <w:sz w:val="13"/>
          <w:szCs w:val="13"/>
        </w:rPr>
        <w:t xml:space="preserve"> or </w:t>
      </w:r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>R</w:t>
      </w:r>
      <w:r w:rsidRPr="00535467">
        <w:rPr>
          <w:rFonts w:ascii="Times New Roman" w:eastAsia="宋体" w:hAnsi="Times New Roman" w:cs="Times New Roman"/>
          <w:b/>
          <w:sz w:val="13"/>
          <w:szCs w:val="13"/>
          <w:lang w:eastAsia="zh-CN"/>
        </w:rPr>
        <w:t xml:space="preserve"> </w:t>
      </w:r>
      <w:r w:rsidRPr="00535467">
        <w:rPr>
          <w:rFonts w:ascii="Times New Roman" w:hAnsi="Times New Roman" w:cs="Times New Roman"/>
          <w:b/>
          <w:sz w:val="13"/>
          <w:szCs w:val="13"/>
        </w:rPr>
        <w:t>formulation</w:t>
      </w:r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 xml:space="preserve"> under </w:t>
      </w:r>
      <w:r>
        <w:rPr>
          <w:rFonts w:ascii="Times New Roman" w:eastAsiaTheme="minorEastAsia" w:hAnsi="Times New Roman" w:cs="Times New Roman" w:hint="eastAsia"/>
          <w:b/>
          <w:sz w:val="13"/>
          <w:szCs w:val="13"/>
          <w:lang w:eastAsia="zh-CN"/>
        </w:rPr>
        <w:t xml:space="preserve">fasted and </w:t>
      </w:r>
      <w:r w:rsidRPr="00535467">
        <w:rPr>
          <w:rFonts w:ascii="Times New Roman" w:hAnsi="Times New Roman" w:cs="Times New Roman" w:hint="eastAsia"/>
          <w:b/>
          <w:sz w:val="13"/>
          <w:szCs w:val="13"/>
          <w:lang w:eastAsia="zh-CN"/>
        </w:rPr>
        <w:t>fed condition</w:t>
      </w:r>
      <w:r>
        <w:rPr>
          <w:rFonts w:ascii="Times New Roman" w:eastAsiaTheme="minorEastAsia" w:hAnsi="Times New Roman" w:cs="Times New Roman" w:hint="eastAsia"/>
          <w:b/>
          <w:sz w:val="13"/>
          <w:szCs w:val="13"/>
          <w:lang w:eastAsia="zh-CN"/>
        </w:rPr>
        <w:t>s.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F86478" w:rsidRPr="00F86478" w:rsidRDefault="00F86478" w:rsidP="00F8647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gramStart"/>
      <w:r w:rsidRPr="00F86478">
        <w:rPr>
          <w:rFonts w:ascii="Calibri" w:eastAsia="Calibri" w:hAnsi="Calibri" w:cs="Calibri"/>
          <w:sz w:val="18"/>
        </w:rPr>
        <w:t>1.Cuiyun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Li (2017)Bioequivalence and Pharmacokinetic Profiles of </w:t>
      </w:r>
      <w:proofErr w:type="spellStart"/>
      <w:r w:rsidRPr="00F86478">
        <w:rPr>
          <w:rFonts w:ascii="Calibri" w:eastAsia="Calibri" w:hAnsi="Calibri" w:cs="Calibri"/>
          <w:sz w:val="18"/>
        </w:rPr>
        <w:t>Agomelatine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25-mg Tablets in Healthy Chinese Subjects: A Four-Way Replicate Crossover Study Demonstrating High Intra- and Inter-Individual Variations. Chemical and Pharmaceutical Bulletin 65(6):524-529.</w:t>
      </w:r>
    </w:p>
    <w:p w:rsidR="00F86478" w:rsidRPr="00F86478" w:rsidRDefault="00F86478" w:rsidP="00F8647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gramStart"/>
      <w:r w:rsidRPr="00F86478">
        <w:rPr>
          <w:rFonts w:ascii="Calibri" w:eastAsia="Calibri" w:hAnsi="Calibri" w:cs="Calibri"/>
          <w:sz w:val="18"/>
        </w:rPr>
        <w:t>2.Cuiyun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Li(2014) Efficacy, pharmacokinetics, and </w:t>
      </w:r>
      <w:proofErr w:type="spellStart"/>
      <w:r w:rsidRPr="00F86478">
        <w:rPr>
          <w:rFonts w:ascii="Calibri" w:eastAsia="Calibri" w:hAnsi="Calibri" w:cs="Calibri"/>
          <w:sz w:val="18"/>
        </w:rPr>
        <w:t>biodistribution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of </w:t>
      </w:r>
      <w:proofErr w:type="spellStart"/>
      <w:r w:rsidRPr="00F86478">
        <w:rPr>
          <w:rFonts w:ascii="Calibri" w:eastAsia="Calibri" w:hAnsi="Calibri" w:cs="Calibri"/>
          <w:sz w:val="18"/>
        </w:rPr>
        <w:t>thermosensitive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chitosan /beta-</w:t>
      </w:r>
      <w:proofErr w:type="spellStart"/>
      <w:r w:rsidRPr="00F86478">
        <w:rPr>
          <w:rFonts w:ascii="Calibri" w:eastAsia="Calibri" w:hAnsi="Calibri" w:cs="Calibri"/>
          <w:sz w:val="18"/>
        </w:rPr>
        <w:t>glycerophosphate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hydrogel loaded with </w:t>
      </w:r>
      <w:proofErr w:type="spellStart"/>
      <w:r w:rsidRPr="00F86478">
        <w:rPr>
          <w:rFonts w:ascii="Calibri" w:eastAsia="Calibri" w:hAnsi="Calibri" w:cs="Calibri"/>
          <w:sz w:val="18"/>
        </w:rPr>
        <w:t>docetaxel</w:t>
      </w:r>
      <w:proofErr w:type="spellEnd"/>
      <w:r w:rsidRPr="00F86478">
        <w:rPr>
          <w:rFonts w:ascii="Calibri" w:eastAsia="Calibri" w:hAnsi="Calibri" w:cs="Calibri"/>
          <w:sz w:val="18"/>
        </w:rPr>
        <w:t>. AAPS PharmSciTech.15: 417-424.</w:t>
      </w:r>
    </w:p>
    <w:p w:rsidR="00F86478" w:rsidRPr="00F86478" w:rsidRDefault="00F86478" w:rsidP="00F8647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gramStart"/>
      <w:r w:rsidRPr="00F86478">
        <w:rPr>
          <w:rFonts w:ascii="Calibri" w:eastAsia="Calibri" w:hAnsi="Calibri" w:cs="Calibri"/>
          <w:sz w:val="18"/>
        </w:rPr>
        <w:t>3.Shuangxia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</w:t>
      </w:r>
      <w:proofErr w:type="spellStart"/>
      <w:r w:rsidRPr="00F86478">
        <w:rPr>
          <w:rFonts w:ascii="Calibri" w:eastAsia="Calibri" w:hAnsi="Calibri" w:cs="Calibri"/>
          <w:sz w:val="18"/>
        </w:rPr>
        <w:t>Ren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86478">
        <w:rPr>
          <w:rFonts w:ascii="Calibri" w:eastAsia="Calibri" w:hAnsi="Calibri" w:cs="Calibri"/>
          <w:sz w:val="18"/>
        </w:rPr>
        <w:t>Cuiyun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Li(2014) Comparison of pharmacokinetics, tissue distribution and pharmacodynamics of liposomal and free doxorubicin in tumor-bearing mice following </w:t>
      </w:r>
      <w:proofErr w:type="spellStart"/>
      <w:r w:rsidRPr="00F86478">
        <w:rPr>
          <w:rFonts w:ascii="Calibri" w:eastAsia="Calibri" w:hAnsi="Calibri" w:cs="Calibri"/>
          <w:sz w:val="18"/>
        </w:rPr>
        <w:t>intratumoral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injection. </w:t>
      </w:r>
      <w:proofErr w:type="gramStart"/>
      <w:r w:rsidRPr="00F86478">
        <w:rPr>
          <w:rFonts w:ascii="Calibri" w:eastAsia="Calibri" w:hAnsi="Calibri" w:cs="Calibri"/>
          <w:sz w:val="18"/>
        </w:rPr>
        <w:t>Journal of Pharmacy and Pharmacology.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66(9):1231-1239.</w:t>
      </w:r>
    </w:p>
    <w:p w:rsidR="00F86478" w:rsidRPr="00F86478" w:rsidRDefault="00F86478" w:rsidP="00F8647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gramStart"/>
      <w:r w:rsidRPr="00F86478">
        <w:rPr>
          <w:rFonts w:ascii="Calibri" w:eastAsia="Calibri" w:hAnsi="Calibri" w:cs="Calibri"/>
          <w:sz w:val="18"/>
        </w:rPr>
        <w:t>4.Fengjie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</w:t>
      </w:r>
      <w:proofErr w:type="spellStart"/>
      <w:r w:rsidRPr="00F86478">
        <w:rPr>
          <w:rFonts w:ascii="Calibri" w:eastAsia="Calibri" w:hAnsi="Calibri" w:cs="Calibri"/>
          <w:sz w:val="18"/>
        </w:rPr>
        <w:t>Tian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86478">
        <w:rPr>
          <w:rFonts w:ascii="Calibri" w:eastAsia="Calibri" w:hAnsi="Calibri" w:cs="Calibri"/>
          <w:sz w:val="18"/>
        </w:rPr>
        <w:t>Cuiyun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Li(2015) Comparative study on pharmacokinetics of a series of </w:t>
      </w:r>
      <w:proofErr w:type="spellStart"/>
      <w:r w:rsidRPr="00F86478">
        <w:rPr>
          <w:rFonts w:ascii="Calibri" w:eastAsia="Calibri" w:hAnsi="Calibri" w:cs="Calibri"/>
          <w:sz w:val="18"/>
        </w:rPr>
        <w:t>anticholinergics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, atropine, </w:t>
      </w:r>
      <w:proofErr w:type="spellStart"/>
      <w:r w:rsidRPr="00F86478">
        <w:rPr>
          <w:rFonts w:ascii="Calibri" w:eastAsia="Calibri" w:hAnsi="Calibri" w:cs="Calibri"/>
          <w:sz w:val="18"/>
        </w:rPr>
        <w:t>anisodamine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86478">
        <w:rPr>
          <w:rFonts w:ascii="Calibri" w:eastAsia="Calibri" w:hAnsi="Calibri" w:cs="Calibri"/>
          <w:sz w:val="18"/>
        </w:rPr>
        <w:t>anisodine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, scopolamine and </w:t>
      </w:r>
      <w:proofErr w:type="spellStart"/>
      <w:r w:rsidRPr="00F86478">
        <w:rPr>
          <w:rFonts w:ascii="Calibri" w:eastAsia="Calibri" w:hAnsi="Calibri" w:cs="Calibri"/>
          <w:sz w:val="18"/>
        </w:rPr>
        <w:t>tiotropium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in rats. European Journal of Drug Metabolism and Pharmacokinetics 40(3):245-253.</w:t>
      </w:r>
    </w:p>
    <w:p w:rsidR="00AE3E37" w:rsidRPr="00F86478" w:rsidRDefault="00F86478" w:rsidP="00F86478">
      <w:pPr>
        <w:tabs>
          <w:tab w:val="left" w:pos="384"/>
        </w:tabs>
        <w:ind w:right="117"/>
        <w:rPr>
          <w:rFonts w:eastAsiaTheme="minorEastAsia" w:hint="eastAsia"/>
          <w:lang w:eastAsia="zh-CN"/>
        </w:rPr>
      </w:pPr>
      <w:proofErr w:type="gramStart"/>
      <w:r w:rsidRPr="00F86478">
        <w:rPr>
          <w:rFonts w:ascii="Calibri" w:eastAsia="Calibri" w:hAnsi="Calibri" w:cs="Calibri"/>
          <w:sz w:val="18"/>
        </w:rPr>
        <w:t>5.Yanhua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</w:t>
      </w:r>
      <w:proofErr w:type="spellStart"/>
      <w:r w:rsidRPr="00F86478">
        <w:rPr>
          <w:rFonts w:ascii="Calibri" w:eastAsia="Calibri" w:hAnsi="Calibri" w:cs="Calibri"/>
          <w:sz w:val="18"/>
        </w:rPr>
        <w:t>Ding,Cuiyun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Li(2017). </w:t>
      </w:r>
      <w:proofErr w:type="gramStart"/>
      <w:r w:rsidRPr="00F86478">
        <w:rPr>
          <w:rFonts w:ascii="Calibri" w:eastAsia="Calibri" w:hAnsi="Calibri" w:cs="Calibri"/>
          <w:sz w:val="18"/>
        </w:rPr>
        <w:t xml:space="preserve">Safety, pharmacokinetics and </w:t>
      </w:r>
      <w:proofErr w:type="spellStart"/>
      <w:r w:rsidRPr="00F86478">
        <w:rPr>
          <w:rFonts w:ascii="Calibri" w:eastAsia="Calibri" w:hAnsi="Calibri" w:cs="Calibri"/>
          <w:sz w:val="18"/>
        </w:rPr>
        <w:t>pharmacogenetics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of a single ascending dose of </w:t>
      </w:r>
      <w:proofErr w:type="spellStart"/>
      <w:r w:rsidRPr="00F86478">
        <w:rPr>
          <w:rFonts w:ascii="Calibri" w:eastAsia="Calibri" w:hAnsi="Calibri" w:cs="Calibri"/>
          <w:sz w:val="18"/>
        </w:rPr>
        <w:t>pradefovir</w:t>
      </w:r>
      <w:proofErr w:type="spellEnd"/>
      <w:r w:rsidRPr="00F86478">
        <w:rPr>
          <w:rFonts w:ascii="Calibri" w:eastAsia="Calibri" w:hAnsi="Calibri" w:cs="Calibri"/>
          <w:sz w:val="18"/>
        </w:rPr>
        <w:t>, a novel liver-targeting, anti-hepatitis B virus drug, in healthy Chinese subjects.</w:t>
      </w:r>
      <w:proofErr w:type="gramEnd"/>
      <w:r w:rsidRPr="00F86478">
        <w:rPr>
          <w:rFonts w:ascii="Calibri" w:eastAsia="Calibri" w:hAnsi="Calibri" w:cs="Calibri"/>
          <w:sz w:val="18"/>
        </w:rPr>
        <w:t xml:space="preserve"> </w:t>
      </w:r>
      <w:proofErr w:type="spellStart"/>
      <w:r w:rsidRPr="00F86478">
        <w:rPr>
          <w:rFonts w:ascii="Calibri" w:eastAsia="Calibri" w:hAnsi="Calibri" w:cs="Calibri"/>
          <w:sz w:val="18"/>
        </w:rPr>
        <w:t>Hepatology</w:t>
      </w:r>
      <w:proofErr w:type="spellEnd"/>
      <w:r w:rsidRPr="00F86478">
        <w:rPr>
          <w:rFonts w:ascii="Calibri" w:eastAsia="Calibri" w:hAnsi="Calibri" w:cs="Calibri"/>
          <w:sz w:val="18"/>
        </w:rPr>
        <w:t xml:space="preserve"> International 11(4):390–400.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09A84CBC" wp14:editId="1894871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535467">
        <w:rPr>
          <w:rFonts w:ascii="Times New Roman" w:hAnsi="Times New Roman"/>
          <w:b/>
          <w:noProof/>
          <w:sz w:val="18"/>
          <w:szCs w:val="18"/>
          <w:lang w:eastAsia="zh-CN"/>
        </w:rPr>
        <w:drawing>
          <wp:inline distT="0" distB="0" distL="0" distR="0">
            <wp:extent cx="464207" cy="651053"/>
            <wp:effectExtent l="0" t="0" r="0" b="0"/>
            <wp:docPr id="4" name="图片 4" descr="Cuiyun Li-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iyun Li-Phot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84" cy="65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>Education</w:t>
      </w:r>
    </w:p>
    <w:p w:rsidR="00535467" w:rsidRPr="00CA02A2" w:rsidRDefault="00535467" w:rsidP="00535467">
      <w:pPr>
        <w:autoSpaceDE w:val="0"/>
        <w:autoSpaceDN w:val="0"/>
        <w:adjustRightInd w:val="0"/>
        <w:jc w:val="both"/>
        <w:rPr>
          <w:rFonts w:ascii="Times New Roman" w:eastAsiaTheme="minorEastAsia" w:hAnsi="Times New Roman" w:hint="eastAsia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 xml:space="preserve">Master in </w:t>
      </w:r>
      <w:proofErr w:type="gramStart"/>
      <w:r w:rsidRPr="00F42AB6">
        <w:rPr>
          <w:rFonts w:ascii="Times New Roman" w:hAnsi="Times New Roman"/>
          <w:bCs/>
          <w:sz w:val="18"/>
          <w:szCs w:val="18"/>
          <w:lang w:eastAsia="zh-CN"/>
        </w:rPr>
        <w:t>pharmacokinetic(</w:t>
      </w:r>
      <w:proofErr w:type="gramEnd"/>
      <w:r w:rsidRPr="00F42AB6">
        <w:rPr>
          <w:rFonts w:ascii="Times New Roman" w:hAnsi="Times New Roman"/>
          <w:bCs/>
          <w:sz w:val="18"/>
          <w:szCs w:val="18"/>
          <w:lang w:eastAsia="zh-CN"/>
        </w:rPr>
        <w:t xml:space="preserve">2014),China </w:t>
      </w:r>
      <w:proofErr w:type="spellStart"/>
      <w:r w:rsidRPr="00F42AB6">
        <w:rPr>
          <w:rFonts w:ascii="Times New Roman" w:hAnsi="Times New Roman"/>
          <w:bCs/>
          <w:sz w:val="18"/>
          <w:szCs w:val="18"/>
          <w:lang w:eastAsia="zh-CN"/>
        </w:rPr>
        <w:t>Phrmaceutical</w:t>
      </w:r>
      <w:proofErr w:type="spellEnd"/>
      <w:r w:rsidRPr="00F42AB6">
        <w:rPr>
          <w:rFonts w:ascii="Times New Roman" w:hAnsi="Times New Roman"/>
          <w:bCs/>
          <w:sz w:val="18"/>
          <w:szCs w:val="18"/>
          <w:lang w:eastAsia="zh-CN"/>
        </w:rPr>
        <w:t xml:space="preserve"> University, Department of Pharmacy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>Working experience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 xml:space="preserve">Phase I Clinical Unit, China-Frontage USA, </w:t>
      </w:r>
      <w:proofErr w:type="gramStart"/>
      <w:r w:rsidRPr="00F42AB6">
        <w:rPr>
          <w:rFonts w:ascii="Times New Roman" w:hAnsi="Times New Roman"/>
          <w:bCs/>
          <w:sz w:val="18"/>
          <w:szCs w:val="18"/>
          <w:lang w:eastAsia="zh-CN"/>
        </w:rPr>
        <w:t>The</w:t>
      </w:r>
      <w:proofErr w:type="gramEnd"/>
      <w:r w:rsidRPr="00F42AB6">
        <w:rPr>
          <w:rFonts w:ascii="Times New Roman" w:hAnsi="Times New Roman"/>
          <w:bCs/>
          <w:sz w:val="18"/>
          <w:szCs w:val="18"/>
          <w:lang w:eastAsia="zh-CN"/>
        </w:rPr>
        <w:t xml:space="preserve"> First Hospital of Jilin University</w:t>
      </w:r>
    </w:p>
    <w:p w:rsidR="00535467" w:rsidRPr="00CA02A2" w:rsidRDefault="00535467" w:rsidP="00535467">
      <w:pPr>
        <w:autoSpaceDE w:val="0"/>
        <w:autoSpaceDN w:val="0"/>
        <w:adjustRightInd w:val="0"/>
        <w:jc w:val="both"/>
        <w:rPr>
          <w:rFonts w:ascii="Times New Roman" w:eastAsiaTheme="minorEastAsia" w:hAnsi="Times New Roman" w:hint="eastAsia"/>
          <w:bCs/>
          <w:sz w:val="18"/>
          <w:szCs w:val="18"/>
          <w:lang w:eastAsia="zh-CN"/>
        </w:rPr>
      </w:pPr>
      <w:proofErr w:type="gramStart"/>
      <w:r w:rsidRPr="00F42AB6">
        <w:rPr>
          <w:rFonts w:ascii="Times New Roman" w:hAnsi="Times New Roman"/>
          <w:bCs/>
          <w:sz w:val="18"/>
          <w:szCs w:val="18"/>
          <w:lang w:eastAsia="zh-CN"/>
        </w:rPr>
        <w:t>Pharmacist(</w:t>
      </w:r>
      <w:proofErr w:type="gramEnd"/>
      <w:r w:rsidRPr="00F42AB6">
        <w:rPr>
          <w:rFonts w:ascii="Times New Roman" w:hAnsi="Times New Roman"/>
          <w:bCs/>
          <w:sz w:val="18"/>
          <w:szCs w:val="18"/>
          <w:lang w:eastAsia="zh-CN"/>
        </w:rPr>
        <w:t>2014 –present)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>As an investigator responsible for: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>1. 5 Phase I Clinical Trials</w:t>
      </w:r>
    </w:p>
    <w:p w:rsidR="00535467" w:rsidRPr="00CA02A2" w:rsidRDefault="00535467" w:rsidP="00535467">
      <w:pPr>
        <w:autoSpaceDE w:val="0"/>
        <w:autoSpaceDN w:val="0"/>
        <w:adjustRightInd w:val="0"/>
        <w:jc w:val="both"/>
        <w:rPr>
          <w:rFonts w:ascii="Times New Roman" w:eastAsiaTheme="minorEastAsia" w:hAnsi="Times New Roman" w:hint="eastAsia"/>
          <w:bCs/>
          <w:sz w:val="18"/>
          <w:szCs w:val="18"/>
          <w:lang w:eastAsia="zh-CN"/>
        </w:rPr>
      </w:pPr>
      <w:r w:rsidRPr="00F42AB6">
        <w:rPr>
          <w:rFonts w:ascii="Times New Roman" w:hAnsi="Times New Roman"/>
          <w:bCs/>
          <w:sz w:val="18"/>
          <w:szCs w:val="18"/>
          <w:lang w:eastAsia="zh-CN"/>
        </w:rPr>
        <w:t>2. 10 BE and Pharmacokinetic studies of chemical drugs</w:t>
      </w:r>
      <w:bookmarkStart w:id="0" w:name="_GoBack"/>
      <w:bookmarkEnd w:id="0"/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zh-CN"/>
        </w:rPr>
      </w:pPr>
      <w:r w:rsidRPr="00F42AB6">
        <w:rPr>
          <w:rFonts w:ascii="Times New Roman" w:hAnsi="Times New Roman"/>
          <w:sz w:val="18"/>
          <w:szCs w:val="18"/>
          <w:lang w:eastAsia="zh-CN"/>
        </w:rPr>
        <w:t>Publications</w:t>
      </w:r>
    </w:p>
    <w:p w:rsidR="00535467" w:rsidRPr="00F42AB6" w:rsidRDefault="00535467" w:rsidP="00535467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zh-CN"/>
        </w:rPr>
      </w:pPr>
      <w:r w:rsidRPr="00F42AB6">
        <w:rPr>
          <w:rFonts w:ascii="Times New Roman" w:hAnsi="Times New Roman"/>
          <w:sz w:val="18"/>
          <w:szCs w:val="18"/>
          <w:lang w:eastAsia="zh-CN"/>
        </w:rPr>
        <w:t xml:space="preserve">12 </w:t>
      </w:r>
      <w:r w:rsidRPr="00F42AB6">
        <w:rPr>
          <w:rFonts w:ascii="Times New Roman" w:hAnsi="Times New Roman"/>
          <w:sz w:val="18"/>
          <w:szCs w:val="18"/>
        </w:rPr>
        <w:t>published SCI article</w:t>
      </w:r>
      <w:r w:rsidRPr="00F42AB6">
        <w:rPr>
          <w:rFonts w:ascii="Times New Roman" w:hAnsi="Times New Roman"/>
          <w:sz w:val="18"/>
          <w:szCs w:val="18"/>
          <w:lang w:eastAsia="zh-CN"/>
        </w:rPr>
        <w:t xml:space="preserve">s for past 5 </w:t>
      </w:r>
      <w:proofErr w:type="gramStart"/>
      <w:r w:rsidRPr="00F42AB6">
        <w:rPr>
          <w:rFonts w:ascii="Times New Roman" w:hAnsi="Times New Roman"/>
          <w:sz w:val="18"/>
          <w:szCs w:val="18"/>
          <w:lang w:eastAsia="zh-CN"/>
        </w:rPr>
        <w:t>years(</w:t>
      </w:r>
      <w:proofErr w:type="gramEnd"/>
      <w:r w:rsidRPr="00F42AB6">
        <w:rPr>
          <w:rFonts w:ascii="Times New Roman" w:hAnsi="Times New Roman"/>
          <w:sz w:val="18"/>
          <w:szCs w:val="18"/>
          <w:lang w:eastAsia="zh-CN"/>
        </w:rPr>
        <w:t>2 as first author)</w:t>
      </w:r>
    </w:p>
    <w:p w:rsidR="00AE3E37" w:rsidRPr="00F86478" w:rsidRDefault="00535467" w:rsidP="00F86478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Email: </w:t>
      </w:r>
      <w:r>
        <w:rPr>
          <w:rFonts w:ascii="Arial" w:eastAsiaTheme="minorEastAsia"/>
          <w:sz w:val="14"/>
          <w:lang w:eastAsia="zh-CN"/>
        </w:rPr>
        <w:t>lcy</w:t>
      </w:r>
      <w:r>
        <w:rPr>
          <w:rFonts w:ascii="Arial" w:eastAsiaTheme="minorEastAsia" w:hint="eastAsia"/>
          <w:sz w:val="14"/>
          <w:lang w:eastAsia="zh-CN"/>
        </w:rPr>
        <w:t>2442929@126.com</w:t>
      </w:r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8CFB4D" wp14:editId="289194B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01E" w:rsidRDefault="0042701E">
      <w:r>
        <w:separator/>
      </w:r>
    </w:p>
  </w:endnote>
  <w:endnote w:type="continuationSeparator" w:id="0">
    <w:p w:rsidR="0042701E" w:rsidRDefault="0042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01E" w:rsidRDefault="0042701E">
      <w:r>
        <w:separator/>
      </w:r>
    </w:p>
  </w:footnote>
  <w:footnote w:type="continuationSeparator" w:id="0">
    <w:p w:rsidR="0042701E" w:rsidRDefault="00427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0306"/>
    <w:rsid w:val="000E2911"/>
    <w:rsid w:val="001263DF"/>
    <w:rsid w:val="00292ED9"/>
    <w:rsid w:val="00404E5B"/>
    <w:rsid w:val="00414F7B"/>
    <w:rsid w:val="0042701E"/>
    <w:rsid w:val="004355DC"/>
    <w:rsid w:val="004749B4"/>
    <w:rsid w:val="00494130"/>
    <w:rsid w:val="004F3523"/>
    <w:rsid w:val="00535467"/>
    <w:rsid w:val="005973B9"/>
    <w:rsid w:val="005B3A56"/>
    <w:rsid w:val="006060CE"/>
    <w:rsid w:val="0063497F"/>
    <w:rsid w:val="006C3674"/>
    <w:rsid w:val="00873DF0"/>
    <w:rsid w:val="008756E6"/>
    <w:rsid w:val="0097666C"/>
    <w:rsid w:val="009B2D44"/>
    <w:rsid w:val="00A07E82"/>
    <w:rsid w:val="00A9710C"/>
    <w:rsid w:val="00AE3E37"/>
    <w:rsid w:val="00B21A57"/>
    <w:rsid w:val="00C33602"/>
    <w:rsid w:val="00CA02A2"/>
    <w:rsid w:val="00CD6F55"/>
    <w:rsid w:val="00DE3104"/>
    <w:rsid w:val="00E7181B"/>
    <w:rsid w:val="00F72EEA"/>
    <w:rsid w:val="00F84CAE"/>
    <w:rsid w:val="00F8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2017-07-19T08:34:00Z</dcterms:created>
  <dcterms:modified xsi:type="dcterms:W3CDTF">2017-09-13T12:36:00Z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